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w:t>
      </w:r>
      <w:r>
        <w:rPr>
          <w:rFonts w:hint="eastAsia" w:cs="Arial"/>
          <w:bCs/>
          <w:sz w:val="22"/>
          <w:szCs w:val="22"/>
          <w:lang w:val="en-US" w:eastAsia="zh-CN"/>
        </w:rPr>
        <w:t>200111</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January </w:t>
      </w:r>
      <w:r>
        <w:rPr>
          <w:rFonts w:hint="eastAsia" w:eastAsia="宋体" w:cs="Arial"/>
          <w:bCs/>
          <w:sz w:val="22"/>
          <w:szCs w:val="22"/>
          <w:highlight w:val="none"/>
          <w:lang w:val="en-US" w:eastAsia="zh-CN"/>
        </w:rPr>
        <w:t>1</w:t>
      </w:r>
      <w:r>
        <w:rPr>
          <w:rFonts w:hint="eastAsia" w:cs="Arial"/>
          <w:bCs/>
          <w:sz w:val="22"/>
          <w:szCs w:val="22"/>
          <w:highlight w:val="none"/>
          <w:lang w:val="en-US" w:eastAsia="zh-CN"/>
        </w:rPr>
        <w:t>7</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25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cs="Arial"/>
          <w:bCs/>
          <w:sz w:val="22"/>
          <w:szCs w:val="22"/>
          <w:lang w:val="en-US" w:eastAsia="zh-CN"/>
        </w:rPr>
        <w:t>2</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 xml:space="preserve">Discussion on </w:t>
      </w:r>
      <w:r>
        <w:rPr>
          <w:rFonts w:hint="eastAsia" w:ascii="Arial" w:hAnsi="Arial"/>
          <w:b/>
          <w:sz w:val="21"/>
          <w:szCs w:val="22"/>
          <w:lang w:val="en-US" w:eastAsia="zh-CN"/>
        </w:rPr>
        <w:t xml:space="preserve">remaining issues for </w:t>
      </w:r>
      <w:r>
        <w:rPr>
          <w:rFonts w:hint="eastAsia" w:ascii="Arial" w:hAnsi="Arial"/>
          <w:b/>
          <w:sz w:val="21"/>
          <w:szCs w:val="22"/>
          <w:lang w:eastAsia="zh-CN"/>
        </w:rPr>
        <w:t>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highlight w:val="none"/>
          <w:lang w:val="en-US" w:eastAsia="zh-CN"/>
        </w:rPr>
      </w:pPr>
      <w:r>
        <w:rPr>
          <w:rFonts w:hint="eastAsia"/>
          <w:highlight w:val="none"/>
          <w:lang w:val="en-US" w:eastAsia="zh-CN"/>
        </w:rPr>
        <w:t>In RAN1#107-e meeting, the following agreements and conclusion related to enhancements on PUSCH repetition type A were reached</w:t>
      </w:r>
      <w:r>
        <w:rPr>
          <w:rFonts w:hint="default"/>
          <w:highlight w:val="none"/>
          <w:lang w:val="en-US" w:eastAsia="zh-CN"/>
        </w:rPr>
        <w:t xml:space="preserve"> [1][2]</w:t>
      </w:r>
      <w:r>
        <w:rPr>
          <w:rFonts w:hint="eastAsia"/>
          <w:highlight w:val="none"/>
          <w:lang w:val="en-US" w:eastAsia="zh-CN"/>
        </w:rPr>
        <w:t>.</w:t>
      </w:r>
    </w:p>
    <w:p>
      <w:pPr>
        <w:keepNext w:val="0"/>
        <w:keepLines w:val="0"/>
        <w:pageBreakBefore w:val="0"/>
        <w:widowControl/>
        <w:kinsoku/>
        <w:wordWrap/>
        <w:overflowPunct/>
        <w:topLinePunct w:val="0"/>
        <w:autoSpaceDE/>
        <w:autoSpaceDN/>
        <w:bidi w:val="0"/>
        <w:adjustRightInd/>
        <w:snapToGrid w:val="0"/>
        <w:textAlignment w:val="auto"/>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114"/>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line="240" w:lineRule="auto"/>
        <w:ind w:leftChars="0"/>
        <w:jc w:val="both"/>
        <w:textAlignment w:val="baseline"/>
        <w:rPr>
          <w:rFonts w:eastAsia="Yu Mincho"/>
          <w:lang w:val="en-US"/>
        </w:rPr>
      </w:pPr>
      <w:r>
        <w:rPr>
          <w:rFonts w:hint="eastAsia" w:eastAsia="Yu Mincho"/>
          <w:iCs/>
          <w:lang w:eastAsia="ja-JP"/>
        </w:rPr>
        <w:t>T</w:t>
      </w:r>
      <w:r>
        <w:rPr>
          <w:rFonts w:eastAsia="Yu Mincho"/>
          <w:iCs/>
          <w:lang w:eastAsia="ja-JP"/>
        </w:rPr>
        <w:t>he counting based on available slots is applicable to unpaired spectrum, paired spectrum and SUL</w:t>
      </w:r>
    </w:p>
    <w:p>
      <w:pPr>
        <w:pStyle w:val="114"/>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709" w:leftChars="0" w:hanging="289"/>
        <w:jc w:val="both"/>
        <w:textAlignment w:val="baseline"/>
        <w:rPr>
          <w:rFonts w:eastAsia="Yu Mincho"/>
          <w:bCs/>
          <w:iCs/>
          <w:lang w:val="en-US" w:eastAsia="ja-JP"/>
        </w:rPr>
      </w:pPr>
      <w:r>
        <w:rPr>
          <w:rFonts w:hint="eastAsia" w:eastAsia="Yu Mincho"/>
          <w:bCs/>
          <w:iCs/>
          <w:lang w:val="en-US" w:eastAsia="ja-JP"/>
        </w:rPr>
        <w:t>F</w:t>
      </w:r>
      <w:r>
        <w:rPr>
          <w:rFonts w:eastAsia="Yu Mincho"/>
          <w:bCs/>
          <w:iCs/>
          <w:lang w:val="en-US" w:eastAsia="ja-JP"/>
        </w:rPr>
        <w:t>or paired spectrum and SUL except HD-FDD, all slots are considered as available slots in the first step of determining the available slots.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highlight w:val="green"/>
          <w:lang w:val="en-US" w:eastAsia="ja-JP"/>
        </w:rPr>
      </w:pPr>
      <w:r>
        <w:rPr>
          <w:highlight w:val="green"/>
          <w:lang w:val="en-US" w:eastAsia="ja-JP"/>
        </w:rPr>
        <w:t>Agreement</w:t>
      </w:r>
    </w:p>
    <w:p>
      <w:pPr>
        <w:pStyle w:val="114"/>
        <w:keepNext w:val="0"/>
        <w:keepLines w:val="0"/>
        <w:pageBreakBefore w:val="0"/>
        <w:widowControl/>
        <w:numPr>
          <w:ilvl w:val="0"/>
          <w:numId w:val="10"/>
        </w:numPr>
        <w:kinsoku/>
        <w:wordWrap/>
        <w:overflowPunct w:val="0"/>
        <w:topLinePunct w:val="0"/>
        <w:autoSpaceDE w:val="0"/>
        <w:autoSpaceDN w:val="0"/>
        <w:bidi w:val="0"/>
        <w:adjustRightInd w:val="0"/>
        <w:snapToGrid w:val="0"/>
        <w:spacing w:after="60" w:line="240" w:lineRule="auto"/>
        <w:ind w:leftChars="0" w:hanging="420"/>
        <w:jc w:val="both"/>
        <w:textAlignment w:val="baseline"/>
        <w:rPr>
          <w:rFonts w:eastAsia="Yu Mincho"/>
          <w:bCs/>
          <w:iCs/>
          <w:lang w:val="en-US" w:eastAsia="ja-JP"/>
        </w:rPr>
      </w:pPr>
      <w:r>
        <w:rPr>
          <w:rFonts w:eastAsia="Yu Mincho"/>
          <w:bCs/>
          <w:iCs/>
          <w:lang w:val="en-US" w:eastAsia="ja-JP"/>
        </w:rPr>
        <w:t>For HD-FDD RedCap Ues supporting the counting based on available slots.</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60" w:line="240" w:lineRule="auto"/>
        <w:ind w:leftChars="0" w:hanging="420"/>
        <w:jc w:val="both"/>
        <w:textAlignment w:val="baseline"/>
        <w:rPr>
          <w:rFonts w:eastAsia="Yu Mincho"/>
          <w:bCs/>
          <w:iCs/>
          <w:lang w:val="en-US" w:eastAsia="ja-JP"/>
        </w:rPr>
      </w:pPr>
      <w:r>
        <w:rPr>
          <w:rFonts w:hint="eastAsia" w:eastAsia="Yu Mincho"/>
          <w:bCs/>
          <w:iCs/>
          <w:lang w:val="en-US" w:eastAsia="ja-JP"/>
        </w:rPr>
        <w:t xml:space="preserve">For CG-PUSCH, </w:t>
      </w:r>
      <w:r>
        <w:rPr>
          <w:rFonts w:hint="eastAsia" w:eastAsia="Yu Mincho"/>
          <w:bCs/>
          <w:i/>
          <w:lang w:val="en-US" w:eastAsia="ja-JP"/>
        </w:rPr>
        <w:t>ssb-PositionsInBurst</w:t>
      </w:r>
      <w:r>
        <w:rPr>
          <w:rFonts w:hint="eastAsia" w:eastAsia="Yu Mincho"/>
          <w:bCs/>
          <w:iCs/>
          <w:lang w:val="en-US" w:eastAsia="ja-JP"/>
        </w:rPr>
        <w:t xml:space="preserve"> is</w:t>
      </w:r>
      <w:r>
        <w:rPr>
          <w:rFonts w:eastAsia="Yu Mincho"/>
          <w:bCs/>
          <w:iCs/>
          <w:lang w:val="en-US" w:eastAsia="ja-JP"/>
        </w:rPr>
        <w:t xml:space="preserve"> used</w:t>
      </w:r>
      <w:r>
        <w:rPr>
          <w:rFonts w:hint="eastAsia" w:eastAsia="Yu Mincho"/>
          <w:bCs/>
          <w:iCs/>
          <w:lang w:val="en-US" w:eastAsia="ja-JP"/>
        </w:rPr>
        <w:t xml:space="preserve"> </w:t>
      </w:r>
      <w:r>
        <w:rPr>
          <w:rFonts w:eastAsia="Yu Mincho"/>
          <w:iCs/>
          <w:lang w:eastAsia="ja-JP"/>
        </w:rPr>
        <w:t>in the first step of determining</w:t>
      </w:r>
      <w:r>
        <w:rPr>
          <w:rFonts w:hint="eastAsia" w:eastAsia="Yu Mincho"/>
          <w:bCs/>
          <w:iCs/>
          <w:lang w:val="en-US" w:eastAsia="ja-JP"/>
        </w:rPr>
        <w:t xml:space="preserve"> of available slots.</w:t>
      </w:r>
    </w:p>
    <w:p>
      <w:pPr>
        <w:pStyle w:val="114"/>
        <w:keepNext w:val="0"/>
        <w:keepLines w:val="0"/>
        <w:pageBreakBefore w:val="0"/>
        <w:widowControl/>
        <w:numPr>
          <w:ilvl w:val="2"/>
          <w:numId w:val="10"/>
        </w:numPr>
        <w:kinsoku/>
        <w:wordWrap/>
        <w:overflowPunct w:val="0"/>
        <w:topLinePunct w:val="0"/>
        <w:autoSpaceDE w:val="0"/>
        <w:autoSpaceDN w:val="0"/>
        <w:bidi w:val="0"/>
        <w:adjustRightInd w:val="0"/>
        <w:snapToGrid w:val="0"/>
        <w:spacing w:after="60" w:line="240" w:lineRule="auto"/>
        <w:ind w:leftChars="0" w:hanging="420"/>
        <w:jc w:val="both"/>
        <w:textAlignment w:val="baseline"/>
        <w:rPr>
          <w:rFonts w:eastAsia="Yu Mincho"/>
          <w:bCs/>
          <w:iCs/>
          <w:lang w:val="en-US" w:eastAsia="ja-JP"/>
        </w:rPr>
      </w:pPr>
      <w:r>
        <w:rPr>
          <w:rFonts w:eastAsia="Yu Mincho"/>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60" w:line="240" w:lineRule="auto"/>
        <w:ind w:leftChars="0" w:hanging="420"/>
        <w:jc w:val="both"/>
        <w:textAlignment w:val="baseline"/>
        <w:rPr>
          <w:rFonts w:eastAsia="Yu Mincho"/>
          <w:bCs/>
          <w:iCs/>
          <w:lang w:val="en-US" w:eastAsia="ja-JP"/>
        </w:rPr>
      </w:pPr>
      <w:r>
        <w:rPr>
          <w:rFonts w:eastAsia="Yu Mincho"/>
          <w:bCs/>
          <w:iCs/>
          <w:lang w:val="en-US" w:eastAsia="ja-JP"/>
        </w:rPr>
        <w:t xml:space="preserve">FFS: </w:t>
      </w:r>
      <w:r>
        <w:rPr>
          <w:rFonts w:hint="eastAsia" w:eastAsia="Yu Mincho"/>
          <w:bCs/>
          <w:iCs/>
          <w:lang w:val="en-US" w:eastAsia="ja-JP"/>
        </w:rPr>
        <w:t>For DG-PUSCH</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60" w:line="240" w:lineRule="auto"/>
        <w:ind w:leftChars="0" w:hanging="420"/>
        <w:jc w:val="both"/>
        <w:textAlignment w:val="baseline"/>
        <w:rPr>
          <w:rFonts w:eastAsia="Yu Mincho"/>
          <w:bCs/>
          <w:iCs/>
          <w:lang w:val="en-US" w:eastAsia="ja-JP"/>
        </w:rPr>
      </w:pPr>
      <w:r>
        <w:rPr>
          <w:rFonts w:hint="eastAsia" w:eastAsia="Yu Mincho"/>
          <w:bCs/>
          <w:iCs/>
          <w:lang w:val="en-US" w:eastAsia="ja-JP"/>
        </w:rPr>
        <w:t>N</w:t>
      </w:r>
      <w:r>
        <w:rPr>
          <w:rFonts w:eastAsia="Yu Mincho"/>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pPr>
        <w:keepNext w:val="0"/>
        <w:keepLines w:val="0"/>
        <w:pageBreakBefore w:val="0"/>
        <w:widowControl/>
        <w:kinsoku/>
        <w:wordWrap/>
        <w:overflowPunct w:val="0"/>
        <w:topLinePunct w:val="0"/>
        <w:autoSpaceDE w:val="0"/>
        <w:autoSpaceDN w:val="0"/>
        <w:bidi w:val="0"/>
        <w:adjustRightInd w:val="0"/>
        <w:snapToGrid w:val="0"/>
        <w:spacing w:after="120" w:afterAutospacing="0"/>
        <w:textAlignment w:val="baseline"/>
        <w:rPr>
          <w:rFonts w:hint="eastAsia"/>
          <w:szCs w:val="20"/>
          <w:highlight w:val="none"/>
          <w:u w:val="none"/>
          <w:lang w:val="en-US" w:eastAsia="ja-JP"/>
        </w:rPr>
      </w:pPr>
      <w:r>
        <w:rPr>
          <w:rFonts w:ascii="Times New Roman" w:hAnsi="Times New Roman"/>
          <w:szCs w:val="20"/>
          <w:highlight w:val="green"/>
          <w:u w:val="none"/>
          <w:lang w:eastAsia="ja-JP"/>
        </w:rPr>
        <w:t>Agreem</w:t>
      </w:r>
      <w:r>
        <w:rPr>
          <w:rFonts w:hint="eastAsia" w:ascii="Times New Roman" w:hAnsi="Times New Roman"/>
          <w:szCs w:val="20"/>
          <w:highlight w:val="green"/>
          <w:u w:val="none"/>
          <w:lang w:val="en-US" w:eastAsia="ja-JP"/>
        </w:rPr>
        <w:t>ent</w:t>
      </w:r>
    </w:p>
    <w:p>
      <w:pPr>
        <w:pStyle w:val="114"/>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Rel-17 does not support numberOfRepetitions-r17 for DG-PUSCH scheduled by DCI format 0_0 and for Type 2 CG-PUSCH activated by DCI format 0_0.</w:t>
      </w:r>
    </w:p>
    <w:p>
      <w:pPr>
        <w:pStyle w:val="114"/>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
          <w:lang w:val="en-US" w:eastAsia="ja-JP"/>
        </w:rPr>
        <w:t>repK-r17 </w:t>
      </w:r>
      <w:r>
        <w:rPr>
          <w:rFonts w:eastAsia="Yu Mincho"/>
          <w:bCs/>
          <w:iCs/>
          <w:lang w:val="en-US" w:eastAsia="ja-JP"/>
        </w:rPr>
        <w:t>supporting up-to-32 repetitions is introduced and is applicable to Type 1 CG-PUSCH and Type 2 CG-PUSCH (irrespective of the activating DCI format).</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
          <w:lang w:val="en-US" w:eastAsia="ja-JP"/>
        </w:rPr>
      </w:pPr>
      <w:r>
        <w:rPr>
          <w:rFonts w:eastAsia="Yu Mincho"/>
          <w:bCs/>
          <w:i/>
          <w:lang w:val="en-US" w:eastAsia="ja-JP"/>
        </w:rPr>
        <w:t>Note: No RAN1 spec impact is expected.</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
          <w:lang w:val="en-US" w:eastAsia="ja-JP"/>
        </w:rPr>
      </w:pPr>
      <w:r>
        <w:rPr>
          <w:rFonts w:eastAsia="Yu Mincho"/>
          <w:bCs/>
          <w:i/>
          <w:lang w:val="en-US" w:eastAsia="ja-JP"/>
        </w:rPr>
        <w:t>The possible values of repK-r17 includes 16 and 32. FFS: other values.</w:t>
      </w:r>
    </w:p>
    <w:p>
      <w:pPr>
        <w:pStyle w:val="114"/>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
          <w:lang w:val="en-US" w:eastAsia="ja-JP"/>
        </w:rPr>
      </w:pPr>
      <w:r>
        <w:rPr>
          <w:rFonts w:eastAsia="Yu Mincho"/>
          <w:bCs/>
          <w:i/>
          <w:lang w:val="en-US" w:eastAsia="ja-JP"/>
        </w:rPr>
        <w:t>numberOfRepetitions-r17 </w:t>
      </w:r>
      <w:r>
        <w:rPr>
          <w:rFonts w:eastAsia="Yu Mincho"/>
          <w:bCs/>
          <w:iCs/>
          <w:lang w:val="en-US" w:eastAsia="ja-JP"/>
        </w:rPr>
        <w:t>is not applicable to Type 1 CG-PUSCH repetition type A.</w:t>
      </w:r>
    </w:p>
    <w:p>
      <w:pPr>
        <w:keepNext w:val="0"/>
        <w:keepLines w:val="0"/>
        <w:pageBreakBefore w:val="0"/>
        <w:widowControl/>
        <w:kinsoku/>
        <w:wordWrap/>
        <w:topLinePunct w:val="0"/>
        <w:bidi w:val="0"/>
        <w:snapToGrid w:val="0"/>
        <w:spacing w:after="120" w:afterAutospacing="0"/>
        <w:rPr>
          <w:rFonts w:ascii="Times New Roman" w:hAnsi="Times New Roman"/>
          <w:szCs w:val="20"/>
          <w:highlight w:val="green"/>
          <w:u w:val="none"/>
          <w:lang w:eastAsia="ja-JP"/>
        </w:rPr>
      </w:pPr>
      <w:r>
        <w:rPr>
          <w:rFonts w:ascii="Times New Roman" w:hAnsi="Times New Roman"/>
          <w:szCs w:val="20"/>
          <w:highlight w:val="green"/>
          <w:u w:val="none"/>
          <w:lang w:eastAsia="ja-JP"/>
        </w:rPr>
        <w:t>Agreement</w:t>
      </w:r>
    </w:p>
    <w:p>
      <w:pPr>
        <w:pStyle w:val="114"/>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All the following combinations support the counting based on available slots.</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DG-PUSCH with Rel-15 repetition factor</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Type-1 CG-PUSCH with Rel-15 repetition factor</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Type-2 CG-PUSCH with Rel-15 repetition factor</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DG-PUSCH with Rel-16 repetition factor</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Type-2 CG-PUSCH with Rel-16 repetition factor</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DG-PUSCH with Rel-17 repetition factor</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hint="eastAsia" w:eastAsia="Yu Mincho"/>
          <w:bCs/>
          <w:iCs/>
          <w:lang w:val="en-US" w:eastAsia="ja-JP"/>
        </w:rPr>
      </w:pPr>
      <w:r>
        <w:rPr>
          <w:rFonts w:eastAsia="Yu Mincho"/>
          <w:bCs/>
          <w:iCs/>
          <w:lang w:val="en-US" w:eastAsia="ja-JP"/>
        </w:rPr>
        <w:t>Type-1 CG-PUSCH with Rel-17 repetition factor, if supported in Issue#1-1</w:t>
      </w:r>
    </w:p>
    <w:p>
      <w:pPr>
        <w:pStyle w:val="114"/>
        <w:keepNext w:val="0"/>
        <w:keepLines w:val="0"/>
        <w:pageBreakBefore w:val="0"/>
        <w:widowControl/>
        <w:numPr>
          <w:ilvl w:val="1"/>
          <w:numId w:val="10"/>
        </w:numPr>
        <w:kinsoku/>
        <w:wordWrap/>
        <w:overflowPunct w:val="0"/>
        <w:topLinePunct w:val="0"/>
        <w:autoSpaceDE w:val="0"/>
        <w:autoSpaceDN w:val="0"/>
        <w:bidi w:val="0"/>
        <w:adjustRightInd w:val="0"/>
        <w:snapToGrid w:val="0"/>
        <w:spacing w:after="120" w:line="240" w:lineRule="auto"/>
        <w:ind w:leftChars="0" w:hanging="420"/>
        <w:jc w:val="both"/>
        <w:textAlignment w:val="baseline"/>
        <w:rPr>
          <w:rFonts w:eastAsia="游明朝"/>
          <w:lang w:val="en-US" w:eastAsia="ja-JP"/>
        </w:rPr>
      </w:pPr>
      <w:r>
        <w:rPr>
          <w:rFonts w:hint="eastAsia" w:eastAsia="宋体"/>
          <w:bCs/>
          <w:iCs/>
          <w:lang w:val="en-US" w:eastAsia="zh-CN"/>
        </w:rPr>
        <w:t>Type</w:t>
      </w:r>
      <w:r>
        <w:rPr>
          <w:rFonts w:eastAsia="Yu Mincho"/>
          <w:bCs/>
          <w:iCs/>
          <w:lang w:val="en-US" w:eastAsia="ja-JP"/>
        </w:rPr>
        <w:t>-2 CG-PUSCH with Rel-17 repetition factor</w:t>
      </w:r>
    </w:p>
    <w:p>
      <w:pPr>
        <w:keepNext w:val="0"/>
        <w:keepLines w:val="0"/>
        <w:pageBreakBefore w:val="0"/>
        <w:widowControl/>
        <w:kinsoku/>
        <w:wordWrap/>
        <w:overflowPunct w:val="0"/>
        <w:topLinePunct w:val="0"/>
        <w:autoSpaceDE w:val="0"/>
        <w:autoSpaceDN w:val="0"/>
        <w:bidi w:val="0"/>
        <w:adjustRightInd w:val="0"/>
        <w:snapToGrid w:val="0"/>
        <w:spacing w:after="120" w:afterAutospacing="0"/>
        <w:textAlignment w:val="baseline"/>
        <w:rPr>
          <w:rFonts w:ascii="Times New Roman" w:hAnsi="Times New Roman"/>
          <w:szCs w:val="20"/>
          <w:highlight w:val="green"/>
          <w:u w:val="none"/>
          <w:lang w:eastAsia="ja-JP"/>
        </w:rPr>
      </w:pPr>
      <w:r>
        <w:rPr>
          <w:rFonts w:ascii="Times New Roman" w:hAnsi="Times New Roman"/>
          <w:szCs w:val="20"/>
          <w:highlight w:val="green"/>
          <w:u w:val="none"/>
          <w:lang w:eastAsia="ja-JP"/>
        </w:rPr>
        <w:t>Agreement</w:t>
      </w:r>
    </w:p>
    <w:p>
      <w:pPr>
        <w:keepNext w:val="0"/>
        <w:keepLines w:val="0"/>
        <w:pageBreakBefore w:val="0"/>
        <w:widowControl/>
        <w:numPr>
          <w:ilvl w:val="0"/>
          <w:numId w:val="11"/>
        </w:numPr>
        <w:shd w:val="clear" w:color="auto"/>
        <w:kinsoku/>
        <w:wordWrap/>
        <w:overflowPunct w:val="0"/>
        <w:topLinePunct w:val="0"/>
        <w:autoSpaceDE w:val="0"/>
        <w:autoSpaceDN w:val="0"/>
        <w:bidi w:val="0"/>
        <w:adjustRightInd w:val="0"/>
        <w:snapToGrid w:val="0"/>
        <w:spacing w:after="120" w:line="240" w:lineRule="auto"/>
        <w:ind w:hanging="420"/>
        <w:jc w:val="both"/>
        <w:textAlignment w:val="baseline"/>
        <w:rPr>
          <w:rFonts w:ascii="Times New Roman" w:hAnsi="Times New Roman" w:eastAsia="Microsoft YaHei UI"/>
          <w:color w:val="000000"/>
          <w:szCs w:val="20"/>
          <w:lang w:val="en-US" w:eastAsia="zh-CN"/>
        </w:rPr>
      </w:pPr>
      <w:r>
        <w:rPr>
          <w:rFonts w:ascii="Times New Roman" w:hAnsi="Times New Roman" w:eastAsia="Microsoft YaHei UI"/>
          <w:color w:val="000000"/>
          <w:szCs w:val="20"/>
          <w:lang w:val="en-US" w:eastAsia="zh-CN"/>
        </w:rPr>
        <w:t>For </w:t>
      </w:r>
      <w:r>
        <w:rPr>
          <w:rFonts w:ascii="Times New Roman" w:hAnsi="Times New Roman" w:eastAsia="Microsoft YaHei UI"/>
          <w:i/>
          <w:iCs/>
          <w:color w:val="000000"/>
          <w:szCs w:val="20"/>
          <w:lang w:val="en-US" w:eastAsia="zh-CN"/>
        </w:rPr>
        <w:t>repK-r17</w:t>
      </w:r>
      <w:r>
        <w:rPr>
          <w:rFonts w:ascii="Times New Roman" w:hAnsi="Times New Roman" w:eastAsia="Microsoft YaHei UI"/>
          <w:color w:val="000000"/>
          <w:szCs w:val="20"/>
          <w:lang w:val="en-US" w:eastAsia="zh-CN"/>
        </w:rPr>
        <w:t>,</w:t>
      </w:r>
    </w:p>
    <w:p>
      <w:pPr>
        <w:keepNext w:val="0"/>
        <w:keepLines w:val="0"/>
        <w:pageBreakBefore w:val="0"/>
        <w:widowControl/>
        <w:numPr>
          <w:ilvl w:val="1"/>
          <w:numId w:val="12"/>
        </w:numPr>
        <w:shd w:val="clear" w:color="auto"/>
        <w:kinsoku/>
        <w:wordWrap/>
        <w:overflowPunct w:val="0"/>
        <w:topLinePunct w:val="0"/>
        <w:autoSpaceDE w:val="0"/>
        <w:autoSpaceDN w:val="0"/>
        <w:bidi w:val="0"/>
        <w:adjustRightInd w:val="0"/>
        <w:snapToGrid w:val="0"/>
        <w:spacing w:after="120" w:line="240" w:lineRule="auto"/>
        <w:ind w:hanging="420"/>
        <w:jc w:val="both"/>
        <w:textAlignment w:val="baseline"/>
        <w:rPr>
          <w:rFonts w:ascii="Times New Roman" w:hAnsi="Times New Roman" w:eastAsia="Microsoft YaHei UI"/>
          <w:color w:val="000000"/>
          <w:szCs w:val="20"/>
          <w:lang w:val="en-US" w:eastAsia="zh-CN"/>
        </w:rPr>
      </w:pPr>
      <w:r>
        <w:rPr>
          <w:rFonts w:ascii="Times New Roman" w:hAnsi="Times New Roman" w:eastAsia="Microsoft YaHei UI"/>
          <w:color w:val="000000"/>
          <w:szCs w:val="20"/>
          <w:lang w:val="sv-SE" w:eastAsia="zh-CN"/>
        </w:rPr>
        <w:t>The value range of </w:t>
      </w:r>
      <w:r>
        <w:rPr>
          <w:rFonts w:ascii="Times New Roman" w:hAnsi="Times New Roman" w:eastAsia="Microsoft YaHei UI"/>
          <w:i/>
          <w:iCs/>
          <w:color w:val="000000"/>
          <w:szCs w:val="20"/>
          <w:lang w:val="sv-SE" w:eastAsia="zh-CN"/>
        </w:rPr>
        <w:t>repK-17</w:t>
      </w:r>
      <w:r>
        <w:rPr>
          <w:rFonts w:ascii="Times New Roman" w:hAnsi="Times New Roman" w:eastAsia="Microsoft YaHei UI"/>
          <w:color w:val="000000"/>
          <w:szCs w:val="20"/>
          <w:lang w:val="sv-SE" w:eastAsia="zh-CN"/>
        </w:rPr>
        <w:t> is {</w:t>
      </w:r>
      <w:r>
        <w:rPr>
          <w:rFonts w:ascii="Times New Roman" w:hAnsi="Times New Roman" w:eastAsia="Microsoft YaHei UI"/>
          <w:color w:val="008080"/>
          <w:szCs w:val="20"/>
          <w:lang w:val="sv-SE" w:eastAsia="zh-CN"/>
        </w:rPr>
        <w:t>1, </w:t>
      </w:r>
      <w:r>
        <w:rPr>
          <w:rFonts w:ascii="Times New Roman" w:hAnsi="Times New Roman" w:eastAsia="Microsoft YaHei UI"/>
          <w:color w:val="000000"/>
          <w:szCs w:val="20"/>
          <w:lang w:val="sv-SE" w:eastAsia="zh-CN"/>
        </w:rPr>
        <w:t>2, 4, 8, 12, 16, 24, 32}.</w:t>
      </w:r>
    </w:p>
    <w:p>
      <w:pPr>
        <w:keepNext w:val="0"/>
        <w:keepLines w:val="0"/>
        <w:pageBreakBefore w:val="0"/>
        <w:widowControl/>
        <w:numPr>
          <w:ilvl w:val="1"/>
          <w:numId w:val="12"/>
        </w:numPr>
        <w:shd w:val="clear" w:color="auto"/>
        <w:kinsoku/>
        <w:wordWrap/>
        <w:overflowPunct w:val="0"/>
        <w:topLinePunct w:val="0"/>
        <w:autoSpaceDE w:val="0"/>
        <w:autoSpaceDN w:val="0"/>
        <w:bidi w:val="0"/>
        <w:adjustRightInd w:val="0"/>
        <w:snapToGrid w:val="0"/>
        <w:spacing w:after="120" w:line="240" w:lineRule="auto"/>
        <w:ind w:hanging="420"/>
        <w:jc w:val="both"/>
        <w:textAlignment w:val="baseline"/>
        <w:rPr>
          <w:rFonts w:ascii="Times New Roman" w:hAnsi="Times New Roman" w:eastAsia="Microsoft YaHei UI"/>
          <w:color w:val="000000"/>
          <w:szCs w:val="20"/>
          <w:lang w:val="en-US" w:eastAsia="zh-CN"/>
        </w:rPr>
      </w:pPr>
      <w:r>
        <w:rPr>
          <w:rFonts w:ascii="Times New Roman" w:hAnsi="Times New Roman" w:eastAsia="Microsoft YaHei UI"/>
          <w:i/>
          <w:iCs/>
          <w:color w:val="000000"/>
          <w:szCs w:val="20"/>
          <w:lang w:val="en-US" w:eastAsia="zh-CN"/>
        </w:rPr>
        <w:t>repK-r17</w:t>
      </w:r>
      <w:r>
        <w:rPr>
          <w:rFonts w:ascii="Times New Roman" w:hAnsi="Times New Roman" w:eastAsia="Microsoft YaHei UI"/>
          <w:color w:val="000000"/>
          <w:szCs w:val="20"/>
          <w:lang w:val="en-US" w:eastAsia="zh-CN"/>
        </w:rPr>
        <w:t> is included in </w:t>
      </w:r>
      <w:r>
        <w:rPr>
          <w:rFonts w:ascii="Times New Roman" w:hAnsi="Times New Roman" w:eastAsia="Microsoft YaHei UI"/>
          <w:i/>
          <w:iCs/>
          <w:color w:val="000000"/>
          <w:szCs w:val="20"/>
          <w:lang w:val="en-US" w:eastAsia="zh-CN"/>
        </w:rPr>
        <w:t>ConfiguredGrantConfig</w:t>
      </w:r>
      <w:r>
        <w:rPr>
          <w:rFonts w:ascii="Times New Roman" w:hAnsi="Times New Roman" w:eastAsia="Microsoft YaHei UI"/>
          <w:color w:val="000000"/>
          <w:szCs w:val="20"/>
          <w:lang w:val="en-US" w:eastAsia="zh-CN"/>
        </w:rPr>
        <w:t>.</w:t>
      </w:r>
    </w:p>
    <w:p>
      <w:pPr>
        <w:keepNext w:val="0"/>
        <w:keepLines w:val="0"/>
        <w:pageBreakBefore w:val="0"/>
        <w:widowControl/>
        <w:numPr>
          <w:ilvl w:val="1"/>
          <w:numId w:val="12"/>
        </w:numPr>
        <w:shd w:val="clear" w:color="auto"/>
        <w:kinsoku/>
        <w:wordWrap/>
        <w:overflowPunct w:val="0"/>
        <w:topLinePunct w:val="0"/>
        <w:autoSpaceDE w:val="0"/>
        <w:autoSpaceDN w:val="0"/>
        <w:bidi w:val="0"/>
        <w:adjustRightInd w:val="0"/>
        <w:snapToGrid w:val="0"/>
        <w:spacing w:after="120" w:line="240" w:lineRule="auto"/>
        <w:ind w:hanging="420"/>
        <w:jc w:val="both"/>
        <w:textAlignment w:val="baseline"/>
        <w:rPr>
          <w:rFonts w:ascii="Times New Roman" w:hAnsi="Times New Roman" w:eastAsia="Microsoft YaHei UI"/>
          <w:color w:val="000000"/>
          <w:szCs w:val="20"/>
          <w:lang w:val="en-US" w:eastAsia="zh-CN"/>
        </w:rPr>
      </w:pPr>
      <w:r>
        <w:rPr>
          <w:rFonts w:ascii="Times New Roman" w:hAnsi="Times New Roman" w:eastAsia="Microsoft YaHei UI"/>
          <w:color w:val="000000"/>
          <w:szCs w:val="20"/>
          <w:lang w:val="sv-SE" w:eastAsia="zh-CN"/>
        </w:rPr>
        <w:t>When </w:t>
      </w:r>
      <w:r>
        <w:rPr>
          <w:rFonts w:ascii="Times New Roman" w:hAnsi="Times New Roman" w:eastAsia="Microsoft YaHei UI"/>
          <w:i/>
          <w:iCs/>
          <w:color w:val="000000"/>
          <w:szCs w:val="20"/>
          <w:lang w:val="sv-SE" w:eastAsia="zh-CN"/>
        </w:rPr>
        <w:t>repK-r17</w:t>
      </w:r>
      <w:r>
        <w:rPr>
          <w:rFonts w:ascii="Times New Roman" w:hAnsi="Times New Roman" w:eastAsia="Microsoft YaHei UI"/>
          <w:color w:val="000000"/>
          <w:szCs w:val="20"/>
          <w:lang w:val="sv-SE" w:eastAsia="zh-CN"/>
        </w:rPr>
        <w:t> is provided, the legacy </w:t>
      </w:r>
      <w:r>
        <w:rPr>
          <w:rFonts w:ascii="Times New Roman" w:hAnsi="Times New Roman" w:eastAsia="Microsoft YaHei UI"/>
          <w:i/>
          <w:iCs/>
          <w:color w:val="000000"/>
          <w:szCs w:val="20"/>
          <w:lang w:val="sv-SE" w:eastAsia="zh-CN"/>
        </w:rPr>
        <w:t>repK</w:t>
      </w:r>
      <w:r>
        <w:rPr>
          <w:rFonts w:ascii="Times New Roman" w:hAnsi="Times New Roman" w:eastAsia="Microsoft YaHei UI"/>
          <w:color w:val="000000"/>
          <w:szCs w:val="20"/>
          <w:lang w:val="sv-SE" w:eastAsia="zh-CN"/>
        </w:rPr>
        <w:t> is not provided.</w:t>
      </w:r>
    </w:p>
    <w:p>
      <w:pPr>
        <w:keepNext w:val="0"/>
        <w:keepLines w:val="0"/>
        <w:pageBreakBefore w:val="0"/>
        <w:widowControl/>
        <w:kinsoku/>
        <w:wordWrap/>
        <w:overflowPunct w:val="0"/>
        <w:topLinePunct w:val="0"/>
        <w:autoSpaceDE w:val="0"/>
        <w:autoSpaceDN w:val="0"/>
        <w:bidi w:val="0"/>
        <w:adjustRightInd w:val="0"/>
        <w:snapToGrid w:val="0"/>
        <w:spacing w:after="120" w:afterAutospacing="0"/>
        <w:textAlignment w:val="baseline"/>
        <w:rPr>
          <w:rFonts w:ascii="Times New Roman" w:hAnsi="Times New Roman"/>
          <w:szCs w:val="20"/>
          <w:highlight w:val="green"/>
          <w:u w:val="none"/>
          <w:lang w:eastAsia="ja-JP"/>
        </w:rPr>
      </w:pPr>
      <w:r>
        <w:rPr>
          <w:rFonts w:ascii="Times New Roman" w:hAnsi="Times New Roman"/>
          <w:szCs w:val="20"/>
          <w:highlight w:val="green"/>
          <w:u w:val="none"/>
          <w:lang w:eastAsia="ja-JP"/>
        </w:rPr>
        <w:t>Agreement</w:t>
      </w:r>
    </w:p>
    <w:p>
      <w:pPr>
        <w:keepNext w:val="0"/>
        <w:keepLines w:val="0"/>
        <w:pageBreakBefore w:val="0"/>
        <w:widowControl/>
        <w:numPr>
          <w:ilvl w:val="0"/>
          <w:numId w:val="13"/>
        </w:numPr>
        <w:shd w:val="clear" w:color="auto"/>
        <w:kinsoku/>
        <w:wordWrap/>
        <w:overflowPunct w:val="0"/>
        <w:topLinePunct w:val="0"/>
        <w:autoSpaceDE w:val="0"/>
        <w:autoSpaceDN w:val="0"/>
        <w:bidi w:val="0"/>
        <w:adjustRightInd w:val="0"/>
        <w:snapToGrid w:val="0"/>
        <w:ind w:hanging="420"/>
        <w:textAlignment w:val="baseline"/>
        <w:rPr>
          <w:rFonts w:hint="default" w:ascii="Times New Roman" w:hAnsi="Times New Roman" w:eastAsia="等线" w:cs="Times New Roman"/>
          <w:color w:val="000000"/>
          <w:sz w:val="20"/>
          <w:szCs w:val="20"/>
          <w:lang w:val="en-US" w:eastAsia="zh-CN"/>
        </w:rPr>
      </w:pPr>
      <w:r>
        <w:rPr>
          <w:rFonts w:hint="default" w:ascii="Times New Roman" w:hAnsi="Times New Roman" w:eastAsia="MS Mincho" w:cs="Times New Roman"/>
          <w:color w:val="000000"/>
          <w:sz w:val="20"/>
          <w:szCs w:val="20"/>
          <w:shd w:val="clear" w:color="auto" w:fill="FFFFFF"/>
          <w:lang w:val="en-US" w:eastAsia="zh-CN"/>
        </w:rPr>
        <w:t>For HD-FDD RedCap Ues supporting the counting based on available slots.</w:t>
      </w:r>
    </w:p>
    <w:p>
      <w:pPr>
        <w:keepNext w:val="0"/>
        <w:keepLines w:val="0"/>
        <w:pageBreakBefore w:val="0"/>
        <w:widowControl/>
        <w:numPr>
          <w:ilvl w:val="0"/>
          <w:numId w:val="13"/>
        </w:numPr>
        <w:shd w:val="clear" w:color="auto"/>
        <w:kinsoku/>
        <w:wordWrap/>
        <w:overflowPunct w:val="0"/>
        <w:topLinePunct w:val="0"/>
        <w:autoSpaceDE w:val="0"/>
        <w:autoSpaceDN w:val="0"/>
        <w:bidi w:val="0"/>
        <w:adjustRightInd w:val="0"/>
        <w:snapToGrid w:val="0"/>
        <w:ind w:hanging="420"/>
        <w:textAlignment w:val="baseline"/>
        <w:rPr>
          <w:rFonts w:hint="default" w:ascii="Times New Roman" w:hAnsi="Times New Roman" w:eastAsia="MS Mincho" w:cs="Times New Roman"/>
          <w:color w:val="000000"/>
          <w:sz w:val="20"/>
          <w:szCs w:val="20"/>
          <w:lang w:val="en-US" w:eastAsia="zh-CN"/>
        </w:rPr>
      </w:pPr>
      <w:r>
        <w:rPr>
          <w:rFonts w:hint="default" w:ascii="Times New Roman" w:hAnsi="Times New Roman" w:eastAsia="MS Mincho" w:cs="Times New Roman"/>
          <w:color w:val="000000"/>
          <w:sz w:val="20"/>
          <w:szCs w:val="20"/>
          <w:shd w:val="clear" w:color="auto" w:fill="FFFFFF"/>
          <w:lang w:val="en-US" w:eastAsia="zh-CN"/>
        </w:rPr>
        <w:t>For DG-PUSCH, </w:t>
      </w:r>
      <w:r>
        <w:rPr>
          <w:rFonts w:hint="default" w:ascii="Times New Roman" w:hAnsi="Times New Roman" w:eastAsia="MS Mincho" w:cs="Times New Roman"/>
          <w:i/>
          <w:iCs/>
          <w:color w:val="000000"/>
          <w:sz w:val="20"/>
          <w:szCs w:val="20"/>
          <w:shd w:val="clear" w:color="auto" w:fill="FFFFFF"/>
          <w:lang w:val="en-US" w:eastAsia="zh-CN"/>
        </w:rPr>
        <w:t>ssb-PositionsInBurst</w:t>
      </w:r>
      <w:r>
        <w:rPr>
          <w:rFonts w:hint="default" w:ascii="Times New Roman" w:hAnsi="Times New Roman" w:eastAsia="MS Mincho" w:cs="Times New Roman"/>
          <w:color w:val="000000"/>
          <w:sz w:val="20"/>
          <w:szCs w:val="20"/>
          <w:shd w:val="clear" w:color="auto" w:fill="FFFFFF"/>
          <w:lang w:val="en-US" w:eastAsia="zh-CN"/>
        </w:rPr>
        <w:t> is used </w:t>
      </w:r>
      <w:r>
        <w:rPr>
          <w:rFonts w:hint="default" w:ascii="Times New Roman" w:hAnsi="Times New Roman" w:eastAsia="MS Mincho" w:cs="Times New Roman"/>
          <w:color w:val="000000"/>
          <w:sz w:val="20"/>
          <w:szCs w:val="20"/>
          <w:shd w:val="clear" w:color="auto" w:fill="FFFFFF"/>
          <w:lang w:eastAsia="zh-CN"/>
        </w:rPr>
        <w:t>in the first step of determining</w:t>
      </w:r>
      <w:r>
        <w:rPr>
          <w:rFonts w:hint="default" w:ascii="Times New Roman" w:hAnsi="Times New Roman" w:eastAsia="MS Mincho" w:cs="Times New Roman"/>
          <w:color w:val="000000"/>
          <w:sz w:val="20"/>
          <w:szCs w:val="20"/>
          <w:shd w:val="clear" w:color="auto" w:fill="FFFFFF"/>
          <w:lang w:val="en-US" w:eastAsia="zh-CN"/>
        </w:rPr>
        <w:t> of available slots.</w:t>
      </w:r>
    </w:p>
    <w:p>
      <w:pPr>
        <w:keepNext w:val="0"/>
        <w:keepLines w:val="0"/>
        <w:pageBreakBefore w:val="0"/>
        <w:widowControl/>
        <w:numPr>
          <w:ilvl w:val="1"/>
          <w:numId w:val="14"/>
        </w:numPr>
        <w:shd w:val="clear" w:color="auto"/>
        <w:kinsoku/>
        <w:wordWrap/>
        <w:overflowPunct w:val="0"/>
        <w:topLinePunct w:val="0"/>
        <w:autoSpaceDE w:val="0"/>
        <w:autoSpaceDN w:val="0"/>
        <w:bidi w:val="0"/>
        <w:adjustRightInd w:val="0"/>
        <w:snapToGrid w:val="0"/>
        <w:ind w:hanging="420"/>
        <w:textAlignment w:val="baseline"/>
        <w:rPr>
          <w:rFonts w:hint="default" w:ascii="Times New Roman" w:hAnsi="Times New Roman" w:eastAsia="MS Mincho" w:cs="Times New Roman"/>
          <w:color w:val="000000"/>
          <w:sz w:val="20"/>
          <w:szCs w:val="20"/>
          <w:lang w:val="en-US" w:eastAsia="zh-CN"/>
        </w:rPr>
      </w:pPr>
      <w:r>
        <w:rPr>
          <w:rFonts w:hint="default" w:ascii="Times New Roman" w:hAnsi="Times New Roman" w:eastAsia="MS Mincho" w:cs="Times New Roman"/>
          <w:color w:val="000000"/>
          <w:sz w:val="20"/>
          <w:szCs w:val="20"/>
          <w:shd w:val="clear" w:color="auto" w:fill="FFFFFF"/>
          <w:lang w:val="en-US" w:eastAsia="zh-CN"/>
        </w:rPr>
        <w:t>  A slot is not counted in the number of available slots if at least one of the symbols indicated by the indexed row of the used resource allocation table in the slot overlaps with a symbol of an SS/PBCH block with index provided by ssb-PositionInBurst.</w:t>
      </w:r>
    </w:p>
    <w:p>
      <w:pPr>
        <w:keepNext w:val="0"/>
        <w:keepLines w:val="0"/>
        <w:pageBreakBefore w:val="0"/>
        <w:widowControl/>
        <w:numPr>
          <w:ilvl w:val="0"/>
          <w:numId w:val="13"/>
        </w:numPr>
        <w:shd w:val="clear" w:color="auto"/>
        <w:kinsoku/>
        <w:wordWrap/>
        <w:overflowPunct w:val="0"/>
        <w:topLinePunct w:val="0"/>
        <w:autoSpaceDE w:val="0"/>
        <w:autoSpaceDN w:val="0"/>
        <w:bidi w:val="0"/>
        <w:adjustRightInd w:val="0"/>
        <w:snapToGrid w:val="0"/>
        <w:ind w:hanging="420"/>
        <w:textAlignment w:val="baseline"/>
        <w:rPr>
          <w:rFonts w:hint="default" w:ascii="Times New Roman" w:hAnsi="Times New Roman" w:eastAsia="MS Mincho" w:cs="Times New Roman"/>
          <w:color w:val="000000"/>
          <w:sz w:val="20"/>
          <w:szCs w:val="20"/>
          <w:shd w:val="clear" w:color="auto" w:fill="FFFFFF"/>
          <w:lang w:val="en-US" w:eastAsia="zh-CN"/>
        </w:rPr>
      </w:pPr>
      <w:r>
        <w:rPr>
          <w:rFonts w:hint="default" w:ascii="Times New Roman" w:hAnsi="Times New Roman" w:eastAsia="MS Mincho" w:cs="Times New Roman"/>
          <w:color w:val="000000"/>
          <w:sz w:val="20"/>
          <w:szCs w:val="20"/>
          <w:shd w:val="clear" w:color="auto" w:fill="FFFFFF"/>
          <w:lang w:val="en-US" w:eastAsia="zh-CN"/>
        </w:rPr>
        <w:t>Note: Neither tdd-UL-DL-ConfigurationCommon nor tdd-UL-DL-ConfigurationDedicated is configured for FDD.</w:t>
      </w:r>
    </w:p>
    <w:p>
      <w:pPr>
        <w:keepNext w:val="0"/>
        <w:keepLines w:val="0"/>
        <w:pageBreakBefore w:val="0"/>
        <w:widowControl/>
        <w:kinsoku/>
        <w:wordWrap/>
        <w:overflowPunct w:val="0"/>
        <w:topLinePunct w:val="0"/>
        <w:autoSpaceDE w:val="0"/>
        <w:autoSpaceDN w:val="0"/>
        <w:bidi w:val="0"/>
        <w:adjustRightInd w:val="0"/>
        <w:snapToGrid w:val="0"/>
        <w:spacing w:after="120" w:afterAutospacing="0"/>
        <w:textAlignment w:val="baseline"/>
        <w:rPr>
          <w:rFonts w:ascii="Times New Roman" w:hAnsi="Times New Roman"/>
          <w:szCs w:val="20"/>
          <w:highlight w:val="lightGray"/>
          <w:u w:val="none"/>
          <w:lang w:eastAsia="ja-JP"/>
        </w:rPr>
      </w:pPr>
      <w:r>
        <w:rPr>
          <w:rFonts w:hint="eastAsia"/>
          <w:szCs w:val="20"/>
          <w:highlight w:val="lightGray"/>
          <w:u w:val="none"/>
          <w:lang w:val="en-US" w:eastAsia="zh-CN"/>
        </w:rPr>
        <w:t>Conclusion</w:t>
      </w:r>
    </w:p>
    <w:p>
      <w:pPr>
        <w:pStyle w:val="114"/>
        <w:numPr>
          <w:ilvl w:val="1"/>
          <w:numId w:val="10"/>
        </w:numPr>
        <w:overflowPunct w:val="0"/>
        <w:autoSpaceDE w:val="0"/>
        <w:autoSpaceDN w:val="0"/>
        <w:adjustRightInd w:val="0"/>
        <w:spacing w:after="180" w:line="259" w:lineRule="auto"/>
        <w:ind w:leftChars="0"/>
        <w:jc w:val="both"/>
        <w:textAlignment w:val="baseline"/>
        <w:rPr>
          <w:rFonts w:hint="eastAsia" w:ascii="Microsoft YaHei UI" w:hAnsi="Microsoft YaHei UI" w:eastAsia="Microsoft YaHei UI" w:cs="宋体"/>
          <w:color w:val="000000"/>
          <w:sz w:val="21"/>
          <w:szCs w:val="21"/>
          <w:lang w:val="en-US" w:eastAsia="zh-CN"/>
        </w:rPr>
      </w:pPr>
      <w:r>
        <w:rPr>
          <w:rFonts w:eastAsia="Yu Mincho"/>
          <w:bCs/>
          <w:iCs/>
          <w:lang w:val="en-US" w:eastAsia="ja-JP"/>
        </w:rPr>
        <w:t>Rel-17 PUSCH repetition Type A with K&gt;1 does not support PUSCH transmission without UL-SCH.</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 xml:space="preserve">provide our views on the remaining issues for enhancements on PUSCH repetition type A. </w:t>
      </w:r>
    </w:p>
    <w:p>
      <w:pPr>
        <w:pStyle w:val="2"/>
        <w:bidi w:val="0"/>
        <w:rPr>
          <w:rFonts w:hint="eastAsia"/>
          <w:lang w:val="en-US" w:eastAsia="zh-CN"/>
        </w:rPr>
      </w:pPr>
      <w:r>
        <w:rPr>
          <w:rFonts w:hint="eastAsia"/>
          <w:lang w:val="en-US" w:eastAsia="zh-CN"/>
        </w:rPr>
        <w:t xml:space="preserve"> Discussion on available UL slots</w:t>
      </w:r>
    </w:p>
    <w:p>
      <w:pPr>
        <w:rPr>
          <w:rFonts w:hint="default" w:eastAsia="宋体"/>
          <w:lang w:val="en-US" w:eastAsia="zh-CN"/>
        </w:rPr>
      </w:pPr>
      <w:r>
        <w:rPr>
          <w:rFonts w:hint="eastAsia" w:eastAsia="宋体"/>
          <w:i w:val="0"/>
          <w:iCs w:val="0"/>
          <w:highlight w:val="none"/>
          <w:lang w:val="en-US" w:eastAsia="zh-CN"/>
        </w:rPr>
        <w:t xml:space="preserve">In RAN1 #106bis-e meeting, </w:t>
      </w:r>
      <w:r>
        <w:rPr>
          <w:rFonts w:hint="eastAsia"/>
          <w:i w:val="0"/>
          <w:iCs w:val="0"/>
          <w:highlight w:val="none"/>
          <w:lang w:val="en-US" w:eastAsia="zh-CN"/>
        </w:rPr>
        <w:t xml:space="preserve">as shown below, </w:t>
      </w:r>
      <w:r>
        <w:rPr>
          <w:rFonts w:hint="eastAsia"/>
          <w:b w:val="0"/>
          <w:bCs w:val="0"/>
          <w:i w:val="0"/>
          <w:iCs w:val="0"/>
          <w:lang w:val="en-US" w:eastAsia="zh-CN"/>
        </w:rPr>
        <w:t xml:space="preserve">it </w:t>
      </w:r>
      <w:r>
        <w:rPr>
          <w:rFonts w:hint="default"/>
          <w:b w:val="0"/>
          <w:bCs w:val="0"/>
          <w:i w:val="0"/>
          <w:iCs w:val="0"/>
          <w:lang w:val="en-US" w:eastAsia="zh-CN"/>
        </w:rPr>
        <w:t>wa</w:t>
      </w:r>
      <w:r>
        <w:rPr>
          <w:rFonts w:hint="eastAsia"/>
          <w:b w:val="0"/>
          <w:bCs w:val="0"/>
          <w:i w:val="0"/>
          <w:iCs w:val="0"/>
          <w:lang w:val="en-US" w:eastAsia="zh-CN"/>
        </w:rPr>
        <w:t xml:space="preserve">s agreed that the determination of available slots in the step 1 of the agreed Alt 1-B for Rel-17 PUSCH repetition type A is only based on </w:t>
      </w:r>
      <w:r>
        <w:rPr>
          <w:i/>
          <w:iCs/>
        </w:rPr>
        <w:t>tdd-UL-DL-ConfigurationCommon</w:t>
      </w:r>
      <w:r>
        <w:t>,</w:t>
      </w:r>
      <w:r>
        <w:rPr>
          <w:rFonts w:hint="eastAsia"/>
          <w:lang w:val="en-US" w:eastAsia="zh-CN"/>
        </w:rPr>
        <w:t xml:space="preserve"> </w:t>
      </w:r>
      <w:r>
        <w:rPr>
          <w:i/>
          <w:iCs/>
        </w:rPr>
        <w:t>tdd-UL-DL-ConfigurationDedicated</w:t>
      </w:r>
      <w:r>
        <w:t xml:space="preserve"> and</w:t>
      </w:r>
      <w:r>
        <w:rPr>
          <w:lang w:val="en-US"/>
        </w:rPr>
        <w:t xml:space="preserve"> </w:t>
      </w:r>
      <w:r>
        <w:rPr>
          <w:i/>
          <w:lang w:val="en-US"/>
        </w:rPr>
        <w:t>ssb-PositionsInBurst</w:t>
      </w:r>
      <w:r>
        <w:rPr>
          <w:rFonts w:hint="default"/>
          <w:i/>
          <w:lang w:val="en-US"/>
        </w:rPr>
        <w:t xml:space="preserve"> </w:t>
      </w:r>
      <w:r>
        <w:rPr>
          <w:rFonts w:hint="default"/>
          <w:i w:val="0"/>
          <w:iCs/>
          <w:lang w:val="en-US"/>
        </w:rPr>
        <w:t>[3]</w:t>
      </w:r>
      <w:r>
        <w:rPr>
          <w:rFonts w:hint="eastAsia"/>
          <w:i/>
          <w:lang w:val="en-US" w:eastAsia="zh-CN"/>
        </w:rPr>
        <w:t xml:space="preserve">. </w:t>
      </w:r>
      <w:r>
        <w:rPr>
          <w:rFonts w:hint="eastAsia"/>
          <w:i w:val="0"/>
          <w:iCs/>
          <w:lang w:val="en-US" w:eastAsia="zh-CN"/>
        </w:rPr>
        <w:t>But</w:t>
      </w:r>
      <w:r>
        <w:rPr>
          <w:rFonts w:hint="eastAsia"/>
          <w:i/>
          <w:lang w:val="en-US" w:eastAsia="zh-CN"/>
        </w:rPr>
        <w:t xml:space="preserve"> </w:t>
      </w:r>
      <w:r>
        <w:rPr>
          <w:rFonts w:hint="eastAsia"/>
          <w:i w:val="0"/>
          <w:iCs/>
          <w:lang w:val="en-US" w:eastAsia="zh-CN"/>
        </w:rPr>
        <w:t xml:space="preserve">whether </w:t>
      </w:r>
      <w:r>
        <w:rPr>
          <w:rFonts w:hint="default"/>
          <w:i w:val="0"/>
          <w:iCs/>
          <w:lang w:val="en-US" w:eastAsia="zh-CN"/>
        </w:rPr>
        <w:t xml:space="preserve">to </w:t>
      </w:r>
      <w:r>
        <w:rPr>
          <w:rFonts w:hint="eastAsia"/>
          <w:i w:val="0"/>
          <w:iCs/>
          <w:lang w:val="en-US" w:eastAsia="zh-CN"/>
        </w:rPr>
        <w:t xml:space="preserve">consider </w:t>
      </w:r>
      <w:r>
        <w:rPr>
          <w:rFonts w:hint="default" w:eastAsiaTheme="minorEastAsia"/>
          <w:lang w:val="en-US" w:eastAsia="zh-CN"/>
        </w:rPr>
        <w:t>SSB</w:t>
      </w:r>
      <w:r>
        <w:rPr>
          <w:rFonts w:hint="eastAsia" w:eastAsiaTheme="minorEastAsia"/>
          <w:lang w:val="en-US" w:eastAsia="zh-CN"/>
        </w:rPr>
        <w:t xml:space="preserve"> across multiple TRPs in inter-cell </w:t>
      </w:r>
      <w:r>
        <w:rPr>
          <w:rFonts w:hint="default" w:eastAsiaTheme="minorEastAsia"/>
          <w:lang w:val="en-US" w:eastAsia="zh-CN"/>
        </w:rPr>
        <w:t xml:space="preserve">multi-TRP </w:t>
      </w:r>
      <w:r>
        <w:rPr>
          <w:rFonts w:hint="eastAsia" w:eastAsiaTheme="minorEastAsia"/>
          <w:lang w:val="en-US" w:eastAsia="zh-CN"/>
        </w:rPr>
        <w:t xml:space="preserve">operation </w:t>
      </w:r>
      <w:r>
        <w:rPr>
          <w:rFonts w:hint="default"/>
          <w:i w:val="0"/>
          <w:iCs/>
          <w:lang w:val="en-US" w:eastAsia="zh-CN"/>
        </w:rPr>
        <w:t>and</w:t>
      </w:r>
      <w:r>
        <w:rPr>
          <w:rFonts w:hint="eastAsia"/>
          <w:i w:val="0"/>
          <w:iCs/>
          <w:lang w:val="en-US" w:eastAsia="zh-CN"/>
        </w:rPr>
        <w:t xml:space="preserve"> </w:t>
      </w:r>
      <w:r>
        <w:rPr>
          <w:rFonts w:eastAsiaTheme="minorEastAsia"/>
          <w:lang w:val="en-US" w:eastAsia="zh-CN"/>
        </w:rPr>
        <w:t>SSB</w:t>
      </w:r>
      <w:r>
        <w:rPr>
          <w:rFonts w:hint="eastAsia" w:eastAsiaTheme="minorEastAsia"/>
          <w:lang w:val="en-US" w:eastAsia="zh-CN"/>
        </w:rPr>
        <w:t xml:space="preserve"> and/or DL-UL-Configurations</w:t>
      </w:r>
      <w:r>
        <w:rPr>
          <w:rFonts w:eastAsiaTheme="minorEastAsia"/>
          <w:lang w:eastAsia="zh-CN"/>
        </w:rPr>
        <w:t xml:space="preserve"> from different serving cells </w:t>
      </w:r>
      <w:r>
        <w:rPr>
          <w:rFonts w:hint="default" w:eastAsiaTheme="minorEastAsia"/>
          <w:lang w:val="en-US" w:eastAsia="zh-CN"/>
        </w:rPr>
        <w:t xml:space="preserve">in </w:t>
      </w:r>
      <w:r>
        <w:rPr>
          <w:rFonts w:eastAsiaTheme="minorEastAsia"/>
          <w:lang w:eastAsia="zh-CN"/>
        </w:rPr>
        <w:t xml:space="preserve">carrier aggregation </w:t>
      </w:r>
      <w:r>
        <w:rPr>
          <w:rFonts w:hint="default" w:eastAsiaTheme="minorEastAsia"/>
          <w:lang w:val="en-US" w:eastAsia="zh-CN"/>
        </w:rPr>
        <w:t xml:space="preserve">operation for </w:t>
      </w:r>
      <w:r>
        <w:rPr>
          <w:rFonts w:hint="eastAsia" w:eastAsiaTheme="minorEastAsia"/>
          <w:lang w:val="en-US" w:eastAsia="zh-CN"/>
        </w:rPr>
        <w:t>determin</w:t>
      </w:r>
      <w:r>
        <w:rPr>
          <w:rFonts w:hint="default" w:eastAsiaTheme="minorEastAsia"/>
          <w:lang w:val="en-US" w:eastAsia="zh-CN"/>
        </w:rPr>
        <w:t>ing</w:t>
      </w:r>
      <w:r>
        <w:rPr>
          <w:rFonts w:hint="eastAsia" w:eastAsiaTheme="minorEastAsia"/>
          <w:lang w:val="en-US" w:eastAsia="zh-CN"/>
        </w:rPr>
        <w:t xml:space="preserve"> available UL slots </w:t>
      </w:r>
      <w:r>
        <w:rPr>
          <w:rFonts w:hint="default" w:eastAsiaTheme="minorEastAsia"/>
          <w:lang w:val="en-US" w:eastAsia="zh-CN"/>
        </w:rPr>
        <w:t xml:space="preserve">are </w:t>
      </w:r>
      <w:r>
        <w:rPr>
          <w:rFonts w:hint="eastAsia" w:eastAsiaTheme="minorEastAsia"/>
          <w:lang w:val="en-US" w:eastAsia="zh-CN"/>
        </w:rPr>
        <w:t xml:space="preserve">still FFS. We will further analyse these FFS issues </w:t>
      </w:r>
      <w:r>
        <w:rPr>
          <w:rFonts w:hint="eastAsia"/>
          <w:b w:val="0"/>
          <w:bCs w:val="0"/>
          <w:i w:val="0"/>
          <w:iCs w:val="0"/>
          <w:lang w:val="en-US" w:eastAsia="zh-CN"/>
        </w:rPr>
        <w:t>in the following</w:t>
      </w:r>
      <w:r>
        <w:rPr>
          <w:rFonts w:hint="eastAsia" w:eastAsiaTheme="minorEastAsia"/>
          <w:lang w:val="en-US"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hd w:val="clear" w:color="auto"/>
              <w:overflowPunct w:val="0"/>
              <w:autoSpaceDE w:val="0"/>
              <w:autoSpaceDN w:val="0"/>
              <w:adjustRightInd w:val="0"/>
              <w:spacing w:before="120" w:after="0" w:line="280" w:lineRule="atLeast"/>
              <w:textAlignment w:val="baseline"/>
              <w:rPr>
                <w:rFonts w:eastAsia="游明朝"/>
                <w:color w:val="000000"/>
                <w:lang w:eastAsia="zh-CN"/>
              </w:rPr>
            </w:pPr>
            <w:r>
              <w:rPr>
                <w:rFonts w:eastAsia="游明朝"/>
                <w:color w:val="000000"/>
                <w:u w:val="single"/>
                <w:shd w:val="clear" w:color="auto" w:fill="00FF00"/>
                <w:lang w:val="sv-SE" w:eastAsia="zh-CN"/>
              </w:rPr>
              <w:t>Agreement</w:t>
            </w:r>
          </w:p>
          <w:p>
            <w:pPr>
              <w:numPr>
                <w:ilvl w:val="0"/>
                <w:numId w:val="15"/>
              </w:numPr>
              <w:shd w:val="clear" w:color="auto"/>
              <w:overflowPunct w:val="0"/>
              <w:autoSpaceDE w:val="0"/>
              <w:autoSpaceDN w:val="0"/>
              <w:adjustRightInd w:val="0"/>
              <w:spacing w:before="120" w:after="0" w:line="210" w:lineRule="atLeast"/>
              <w:ind w:left="709"/>
              <w:textAlignment w:val="baseline"/>
              <w:rPr>
                <w:rFonts w:ascii="ＭＳ 明朝" w:hAnsi="ＭＳ 明朝" w:eastAsia="ＭＳ 明朝" w:cs="宋体"/>
                <w:color w:val="000000"/>
                <w:lang w:eastAsia="zh-CN"/>
              </w:rPr>
            </w:pPr>
            <w:r>
              <w:rPr>
                <w:rFonts w:eastAsia="ＭＳ 明朝"/>
                <w:color w:val="000000"/>
                <w:shd w:val="clear" w:color="auto" w:fill="FFFFFF"/>
                <w:lang w:eastAsia="zh-CN"/>
              </w:rPr>
              <w:t>Only </w:t>
            </w:r>
            <w:r>
              <w:rPr>
                <w:rFonts w:eastAsia="ＭＳ 明朝"/>
                <w:i/>
                <w:iCs/>
                <w:color w:val="000000"/>
                <w:shd w:val="clear" w:color="auto" w:fill="FFFFFF"/>
                <w:lang w:eastAsia="zh-CN"/>
              </w:rPr>
              <w:t>tdd-UL-DL-ConfigurationCommon</w:t>
            </w:r>
            <w:r>
              <w:rPr>
                <w:rFonts w:eastAsia="ＭＳ 明朝"/>
                <w:color w:val="000000"/>
                <w:shd w:val="clear" w:color="auto" w:fill="FFFFFF"/>
                <w:lang w:eastAsia="zh-CN"/>
              </w:rPr>
              <w:t>, </w:t>
            </w:r>
            <w:r>
              <w:rPr>
                <w:rFonts w:eastAsia="ＭＳ 明朝"/>
                <w:i/>
                <w:iCs/>
                <w:color w:val="000000"/>
                <w:shd w:val="clear" w:color="auto" w:fill="FFFFFF"/>
                <w:lang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eastAsia="zh-CN"/>
              </w:rPr>
              <w:t>ssb-PositionsInBurst</w:t>
            </w:r>
            <w:r>
              <w:rPr>
                <w:rFonts w:eastAsia="ＭＳ 明朝"/>
                <w:color w:val="000000"/>
                <w:shd w:val="clear" w:color="auto" w:fill="FFFFFF"/>
                <w:lang w:eastAsia="zh-CN"/>
              </w:rPr>
              <w:t> </w:t>
            </w:r>
            <w:r>
              <w:rPr>
                <w:rFonts w:eastAsia="ＭＳ 明朝"/>
                <w:color w:val="000000"/>
                <w:shd w:val="clear" w:color="auto" w:fill="FFFFFF"/>
                <w:lang w:val="sv-SE" w:eastAsia="zh-CN"/>
              </w:rPr>
              <w:t>are </w:t>
            </w:r>
            <w:r>
              <w:rPr>
                <w:rFonts w:eastAsia="ＭＳ 明朝"/>
                <w:color w:val="000000"/>
                <w:shd w:val="clear" w:color="auto" w:fill="FFFFFF"/>
                <w:lang w:eastAsia="zh-CN"/>
              </w:rPr>
              <w:t>considered for the determination of available slots.</w:t>
            </w:r>
          </w:p>
          <w:p>
            <w:pPr>
              <w:numPr>
                <w:ilvl w:val="1"/>
                <w:numId w:val="15"/>
              </w:numPr>
              <w:shd w:val="clear" w:color="auto"/>
              <w:overflowPunct w:val="0"/>
              <w:autoSpaceDE w:val="0"/>
              <w:autoSpaceDN w:val="0"/>
              <w:adjustRightInd w:val="0"/>
              <w:spacing w:before="120" w:after="0" w:line="210" w:lineRule="atLeast"/>
              <w:ind w:left="1134" w:hanging="425"/>
              <w:textAlignment w:val="baseline"/>
              <w:rPr>
                <w:rFonts w:hint="eastAsia"/>
                <w:vertAlign w:val="baseline"/>
                <w:lang w:val="en-US" w:eastAsia="zh-CN"/>
              </w:rPr>
            </w:pPr>
            <w:r>
              <w:rPr>
                <w:rFonts w:eastAsia="ＭＳ 明朝"/>
                <w:color w:val="000000"/>
                <w:shd w:val="clear" w:color="auto" w:fill="FFFFFF"/>
                <w:lang w:eastAsia="zh-CN"/>
              </w:rPr>
              <w:t>Any other RRC configuration is not considered for the determination of available slots.</w:t>
            </w:r>
          </w:p>
        </w:tc>
      </w:tr>
    </w:tbl>
    <w:p>
      <w:pPr>
        <w:pStyle w:val="3"/>
        <w:bidi w:val="0"/>
        <w:rPr>
          <w:rFonts w:hint="eastAsia"/>
          <w:lang w:val="en-US" w:eastAsia="zh-CN"/>
        </w:rPr>
      </w:pPr>
      <w:r>
        <w:rPr>
          <w:rFonts w:hint="default"/>
          <w:lang w:val="en-US" w:eastAsia="zh-CN"/>
        </w:rPr>
        <w:t>A</w:t>
      </w:r>
      <w:r>
        <w:rPr>
          <w:rFonts w:hint="eastAsia"/>
          <w:lang w:val="en-US" w:eastAsia="zh-CN"/>
        </w:rPr>
        <w:t>vailable slot determination</w:t>
      </w:r>
      <w:r>
        <w:rPr>
          <w:rFonts w:hint="default"/>
          <w:lang w:val="en-US" w:eastAsia="zh-CN"/>
        </w:rPr>
        <w:t xml:space="preserve"> in inter-cell multi-TRP operation</w:t>
      </w:r>
    </w:p>
    <w:p>
      <w:pPr>
        <w:tabs>
          <w:tab w:val="left" w:pos="4000"/>
        </w:tabs>
        <w:rPr>
          <w:rFonts w:hint="eastAsia"/>
          <w:lang w:val="en-US" w:eastAsia="zh-CN"/>
        </w:rPr>
      </w:pPr>
      <w:r>
        <w:rPr>
          <w:rFonts w:hint="eastAsia"/>
          <w:lang w:val="en-US" w:eastAsia="zh-CN"/>
        </w:rPr>
        <w:t xml:space="preserve">It has been discussed in </w:t>
      </w:r>
      <w:r>
        <w:rPr>
          <w:rFonts w:hint="default"/>
          <w:lang w:val="en-US" w:eastAsia="zh-CN"/>
        </w:rPr>
        <w:t>RAN1#107-e</w:t>
      </w:r>
      <w:r>
        <w:rPr>
          <w:rFonts w:hint="eastAsia"/>
          <w:lang w:val="en-US" w:eastAsia="zh-CN"/>
        </w:rPr>
        <w:t xml:space="preserve"> that whether the SSB from the serving cell TRP and the SSB from the non-serving cell TRP can be regarded as union, and whether the union of </w:t>
      </w:r>
      <w:r>
        <w:rPr>
          <w:rFonts w:hint="default"/>
          <w:lang w:val="en-US" w:eastAsia="zh-CN"/>
        </w:rPr>
        <w:t>SSB</w:t>
      </w:r>
      <w:r>
        <w:rPr>
          <w:rFonts w:hint="eastAsia"/>
          <w:lang w:val="en-US" w:eastAsia="zh-CN"/>
        </w:rPr>
        <w:t xml:space="preserve"> can be taken into account for determination of available slots</w:t>
      </w:r>
      <w:r>
        <w:rPr>
          <w:rFonts w:hint="default"/>
          <w:lang w:val="en-US" w:eastAsia="zh-CN"/>
        </w:rPr>
        <w:t xml:space="preserve"> [2]</w:t>
      </w:r>
      <w:r>
        <w:rPr>
          <w:rFonts w:hint="eastAsia"/>
          <w:lang w:val="en-US" w:eastAsia="zh-CN"/>
        </w:rPr>
        <w:t xml:space="preserve">. At last, FL suggested to revisit this issue after providing more clarification </w:t>
      </w:r>
      <w:r>
        <w:rPr>
          <w:rFonts w:hint="default"/>
          <w:lang w:val="en-US" w:eastAsia="zh-CN"/>
        </w:rPr>
        <w:t xml:space="preserve">from </w:t>
      </w:r>
      <w:r>
        <w:rPr>
          <w:rFonts w:hint="eastAsia"/>
          <w:lang w:val="en-US" w:eastAsia="zh-CN"/>
        </w:rPr>
        <w:t>feMIMO WI.</w:t>
      </w:r>
    </w:p>
    <w:p>
      <w:pPr>
        <w:tabs>
          <w:tab w:val="left" w:pos="4000"/>
        </w:tabs>
        <w:rPr>
          <w:rFonts w:hint="eastAsia"/>
          <w:lang w:val="en-US" w:eastAsia="zh-CN"/>
        </w:rPr>
      </w:pPr>
      <w:r>
        <w:rPr>
          <w:rFonts w:hint="default"/>
          <w:lang w:val="en-US" w:eastAsia="zh-CN"/>
        </w:rPr>
        <w:t>I</w:t>
      </w:r>
      <w:r>
        <w:rPr>
          <w:rFonts w:hint="eastAsia"/>
          <w:lang w:val="en-US" w:eastAsia="zh-CN"/>
        </w:rPr>
        <w:t xml:space="preserve">n feMIMO WI, the collision handling between UL channels/signals and non-serving cell SSB </w:t>
      </w:r>
      <w:r>
        <w:rPr>
          <w:rFonts w:hint="default"/>
          <w:lang w:val="en-US" w:eastAsia="zh-CN"/>
        </w:rPr>
        <w:t>still can</w:t>
      </w:r>
      <w:r>
        <w:rPr>
          <w:rFonts w:hint="eastAsia"/>
          <w:lang w:val="en-US" w:eastAsia="zh-CN"/>
        </w:rPr>
        <w:t>not be concluded</w:t>
      </w:r>
      <w:r>
        <w:rPr>
          <w:rFonts w:hint="default"/>
          <w:lang w:val="en-US" w:eastAsia="zh-CN"/>
        </w:rPr>
        <w:t xml:space="preserve"> in</w:t>
      </w:r>
      <w:r>
        <w:rPr>
          <w:rFonts w:hint="eastAsia"/>
          <w:lang w:val="en-US" w:eastAsia="zh-CN"/>
        </w:rPr>
        <w:t xml:space="preserve"> RAN1 #107-e meeting</w:t>
      </w:r>
      <w:r>
        <w:rPr>
          <w:rFonts w:hint="default"/>
          <w:lang w:val="en-US" w:eastAsia="zh-CN"/>
        </w:rPr>
        <w:t xml:space="preserve"> [4]</w:t>
      </w:r>
      <w:r>
        <w:rPr>
          <w:rFonts w:hint="eastAsia"/>
          <w:lang w:val="en-US" w:eastAsia="zh-CN"/>
        </w:rPr>
        <w:t xml:space="preserve">. For the set of symbols indicated to a UE by </w:t>
      </w:r>
      <w:r>
        <w:rPr>
          <w:iCs/>
          <w:szCs w:val="20"/>
          <w:highlight w:val="none"/>
          <w:lang w:val="en-GB" w:eastAsia="ko-KR"/>
        </w:rPr>
        <w:t xml:space="preserve">non-serving cell </w:t>
      </w:r>
      <w:r>
        <w:rPr>
          <w:i/>
          <w:szCs w:val="20"/>
          <w:highlight w:val="none"/>
          <w:lang w:val="en-GB" w:eastAsia="ko-KR"/>
        </w:rPr>
        <w:t>ssb-PositionsInBurst</w:t>
      </w:r>
      <w:r>
        <w:rPr>
          <w:iCs/>
          <w:szCs w:val="20"/>
          <w:highlight w:val="none"/>
          <w:lang w:val="en-GB" w:eastAsia="ko-KR"/>
        </w:rPr>
        <w:t>,</w:t>
      </w:r>
      <w:r>
        <w:rPr>
          <w:rFonts w:hint="eastAsia"/>
          <w:iCs/>
          <w:szCs w:val="20"/>
          <w:highlight w:val="none"/>
          <w:lang w:val="en-US" w:eastAsia="zh-CN"/>
        </w:rPr>
        <w:t xml:space="preserve"> t</w:t>
      </w:r>
      <w:r>
        <w:rPr>
          <w:rFonts w:hint="eastAsia"/>
          <w:lang w:val="en-US" w:eastAsia="zh-CN"/>
        </w:rPr>
        <w:t>here may be two options about UE behavior:</w:t>
      </w:r>
    </w:p>
    <w:p>
      <w:pPr>
        <w:numPr>
          <w:ilvl w:val="0"/>
          <w:numId w:val="16"/>
        </w:numPr>
        <w:ind w:left="420" w:leftChars="0" w:hanging="420" w:firstLineChars="0"/>
        <w:rPr>
          <w:rFonts w:hint="eastAsia"/>
          <w:lang w:val="en-US" w:eastAsia="zh-CN"/>
        </w:rPr>
      </w:pPr>
      <w:r>
        <w:rPr>
          <w:rFonts w:hint="eastAsia"/>
          <w:lang w:val="en-US" w:eastAsia="zh-CN"/>
        </w:rPr>
        <w:t>Option 1: The UE does not transmit any UL channel/signal (no matter associated with serving cell PCI or non-serving cell PCI).</w:t>
      </w:r>
    </w:p>
    <w:p>
      <w:pPr>
        <w:numPr>
          <w:ilvl w:val="0"/>
          <w:numId w:val="16"/>
        </w:numPr>
        <w:ind w:left="420" w:leftChars="0" w:hanging="420" w:firstLineChars="0"/>
        <w:rPr>
          <w:rFonts w:hint="eastAsia"/>
          <w:lang w:val="en-US" w:eastAsia="zh-CN"/>
        </w:rPr>
      </w:pPr>
      <w:r>
        <w:rPr>
          <w:rFonts w:hint="eastAsia"/>
          <w:lang w:val="en-US" w:eastAsia="zh-CN"/>
        </w:rPr>
        <w:t>Option 2: The UE can only transmit UL signal/channel associated with the serving cell TRP.</w:t>
      </w:r>
    </w:p>
    <w:p>
      <w:pPr>
        <w:tabs>
          <w:tab w:val="left" w:pos="4000"/>
        </w:tabs>
        <w:rPr>
          <w:rFonts w:hint="default"/>
          <w:lang w:val="en-US" w:eastAsia="zh-CN"/>
        </w:rPr>
      </w:pPr>
      <w:r>
        <w:rPr>
          <w:rFonts w:hint="default"/>
          <w:lang w:val="en-US" w:eastAsia="zh-CN"/>
        </w:rPr>
        <w:t>For option 2, the SSB of non-serving cell is not taken into account for the available slots determination since the UE can transmit UL signal to serving cell TRP. In option 1, the UE is not allowed to transmit UL signal if it is collided with non-serving cell SSB. This is a new dropping rule in Rel-17. If option 1 is finally adopted in feMIMO WI, then PUSCH repetition should be dropped in the case of collision with non-serving cell SSB. In any case, the SSB from non-serving cell should not be considered when determining available slots.</w:t>
      </w:r>
    </w:p>
    <w:p>
      <w:pPr>
        <w:tabs>
          <w:tab w:val="left" w:pos="4000"/>
        </w:tabs>
        <w:rPr>
          <w:rFonts w:hint="default" w:eastAsia="Yu Mincho"/>
          <w:i/>
          <w:iCs/>
          <w:sz w:val="20"/>
          <w:szCs w:val="20"/>
          <w:lang w:val="en-US" w:eastAsia="ja-JP"/>
        </w:rPr>
      </w:pPr>
      <w:r>
        <w:rPr>
          <w:rFonts w:hint="default" w:eastAsia="Yu Mincho"/>
          <w:b/>
          <w:bCs/>
          <w:i/>
          <w:iCs/>
          <w:sz w:val="20"/>
          <w:szCs w:val="20"/>
          <w:lang w:val="en-US" w:eastAsia="ja-JP"/>
        </w:rPr>
        <w:t>Proposal 1:</w:t>
      </w:r>
      <w:r>
        <w:rPr>
          <w:rFonts w:hint="default" w:eastAsia="Yu Mincho"/>
          <w:i/>
          <w:iCs/>
          <w:sz w:val="20"/>
          <w:szCs w:val="20"/>
          <w:lang w:val="en-US" w:eastAsia="ja-JP"/>
        </w:rPr>
        <w:t xml:space="preserve"> </w:t>
      </w:r>
      <w:r>
        <w:rPr>
          <w:rFonts w:hint="default"/>
          <w:i/>
          <w:iCs/>
          <w:lang w:val="en-US" w:eastAsia="zh-CN"/>
        </w:rPr>
        <w:t>The SSB from non-serving cell should not be considered in multi-TRP operation when determining available slots.</w:t>
      </w:r>
    </w:p>
    <w:p>
      <w:pPr>
        <w:pStyle w:val="3"/>
        <w:bidi w:val="0"/>
        <w:rPr>
          <w:rFonts w:hint="eastAsia"/>
          <w:lang w:val="en-US" w:eastAsia="zh-CN"/>
        </w:rPr>
      </w:pPr>
      <w:r>
        <w:rPr>
          <w:rFonts w:hint="default"/>
          <w:lang w:val="en-US" w:eastAsia="zh-CN"/>
        </w:rPr>
        <w:t>A</w:t>
      </w:r>
      <w:r>
        <w:rPr>
          <w:rFonts w:hint="eastAsia"/>
          <w:lang w:val="en-US" w:eastAsia="zh-CN"/>
        </w:rPr>
        <w:t>vailable slot determination</w:t>
      </w:r>
      <w:r>
        <w:rPr>
          <w:rFonts w:hint="default"/>
          <w:lang w:val="en-US" w:eastAsia="zh-CN"/>
        </w:rPr>
        <w:t xml:space="preserve"> in </w:t>
      </w:r>
      <w:r>
        <w:rPr>
          <w:rFonts w:hint="eastAsia"/>
          <w:lang w:val="en-US" w:eastAsia="zh-CN"/>
        </w:rPr>
        <w:t xml:space="preserve">half duplex </w:t>
      </w:r>
      <w:r>
        <w:rPr>
          <w:rFonts w:hint="default"/>
          <w:lang w:val="en-US" w:eastAsia="zh-CN"/>
        </w:rPr>
        <w:t>CA operation</w:t>
      </w:r>
    </w:p>
    <w:p>
      <w:pPr>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b w:val="0"/>
          <w:bCs w:val="0"/>
          <w:i w:val="0"/>
          <w:iCs w:val="0"/>
          <w:sz w:val="20"/>
          <w:szCs w:val="20"/>
          <w:lang w:val="en-US" w:eastAsia="zh-CN"/>
        </w:rPr>
        <w:t xml:space="preserve">For half duplex CA UEs, Rel-15/16 NR specifies that the UL transmission are omitted if it is collided with SSB from any of the serving cells or with DL-Configurations from reference cell, </w:t>
      </w:r>
      <w:r>
        <w:rPr>
          <w:rFonts w:hint="default" w:ascii="Times New Roman" w:hAnsi="Times New Roman" w:cs="Times New Roman"/>
          <w:iCs/>
          <w:sz w:val="20"/>
          <w:szCs w:val="20"/>
          <w:lang w:val="en-US" w:eastAsia="zh-CN"/>
        </w:rPr>
        <w:t xml:space="preserve">as shown </w:t>
      </w:r>
      <w:r>
        <w:rPr>
          <w:rFonts w:hint="default" w:ascii="Times New Roman" w:hAnsi="Times New Roman" w:eastAsia="宋体" w:cs="Times New Roman"/>
          <w:iCs/>
          <w:sz w:val="20"/>
          <w:szCs w:val="20"/>
          <w:lang w:val="en-US" w:eastAsia="zh-CN"/>
        </w:rPr>
        <w:t>in the appendix</w:t>
      </w:r>
      <w:r>
        <w:rPr>
          <w:rFonts w:hint="default" w:ascii="Times New Roman" w:hAnsi="Times New Roman" w:cs="Times New Roman"/>
          <w:b w:val="0"/>
          <w:bCs w:val="0"/>
          <w:i w:val="0"/>
          <w:iCs w:val="0"/>
          <w:sz w:val="20"/>
          <w:szCs w:val="20"/>
          <w:lang w:val="en-US" w:eastAsia="zh-CN"/>
        </w:rPr>
        <w:t xml:space="preserve">. </w:t>
      </w:r>
      <w:r>
        <w:rPr>
          <w:rFonts w:hint="default" w:ascii="Times New Roman" w:hAnsi="Times New Roman" w:cs="Times New Roman"/>
          <w:b w:val="0"/>
          <w:bCs w:val="0"/>
          <w:i w:val="0"/>
          <w:iCs w:val="0"/>
          <w:sz w:val="20"/>
          <w:szCs w:val="20"/>
          <w:highlight w:val="none"/>
          <w:lang w:val="en-US" w:eastAsia="zh-CN"/>
        </w:rPr>
        <w:t xml:space="preserve">According to the previous agreements, </w:t>
      </w:r>
      <w:r>
        <w:rPr>
          <w:rFonts w:hint="default" w:ascii="Times New Roman" w:hAnsi="Times New Roman" w:cs="Times New Roman"/>
          <w:b w:val="0"/>
          <w:bCs w:val="0"/>
          <w:i w:val="0"/>
          <w:iCs w:val="0"/>
          <w:sz w:val="20"/>
          <w:szCs w:val="20"/>
          <w:lang w:val="en-US" w:eastAsia="zh-CN"/>
        </w:rPr>
        <w:t xml:space="preserve">no other signaling other than </w:t>
      </w:r>
      <w:r>
        <w:rPr>
          <w:rFonts w:hint="default" w:ascii="Times New Roman" w:hAnsi="Times New Roman" w:eastAsia="MS Mincho" w:cs="Times New Roman"/>
          <w:i/>
          <w:iCs/>
          <w:color w:val="000000"/>
          <w:sz w:val="20"/>
          <w:szCs w:val="20"/>
          <w:shd w:val="clear" w:color="auto" w:fill="FFFFFF"/>
          <w:lang w:val="en-US" w:eastAsia="zh-CN"/>
        </w:rPr>
        <w:t>tdd-UL-DL-ConfigurationCommon</w:t>
      </w:r>
      <w:r>
        <w:rPr>
          <w:rFonts w:hint="default" w:ascii="Times New Roman" w:hAnsi="Times New Roman" w:eastAsia="MS Mincho" w:cs="Times New Roman"/>
          <w:color w:val="000000"/>
          <w:sz w:val="20"/>
          <w:szCs w:val="20"/>
          <w:shd w:val="clear" w:color="auto" w:fill="FFFFFF"/>
          <w:lang w:val="en-US" w:eastAsia="zh-CN"/>
        </w:rPr>
        <w:t>, </w:t>
      </w:r>
      <w:r>
        <w:rPr>
          <w:rFonts w:hint="default" w:ascii="Times New Roman" w:hAnsi="Times New Roman" w:eastAsia="MS Mincho" w:cs="Times New Roman"/>
          <w:i/>
          <w:iCs/>
          <w:color w:val="000000"/>
          <w:sz w:val="20"/>
          <w:szCs w:val="20"/>
          <w:shd w:val="clear" w:color="auto" w:fill="FFFFFF"/>
          <w:lang w:val="en-US" w:eastAsia="zh-CN"/>
        </w:rPr>
        <w:t>tdd-UL-DL-ConfigurationDedicated</w:t>
      </w:r>
      <w:r>
        <w:rPr>
          <w:rFonts w:hint="default" w:ascii="Times New Roman" w:hAnsi="Times New Roman" w:eastAsia="MS Mincho" w:cs="Times New Roman"/>
          <w:color w:val="000000"/>
          <w:sz w:val="20"/>
          <w:szCs w:val="20"/>
          <w:shd w:val="clear" w:color="auto" w:fill="FFFFFF"/>
          <w:lang w:val="sv-SE" w:eastAsia="zh-CN"/>
        </w:rPr>
        <w:t> and </w:t>
      </w:r>
      <w:r>
        <w:rPr>
          <w:rFonts w:hint="default" w:ascii="Times New Roman" w:hAnsi="Times New Roman" w:eastAsia="MS Mincho" w:cs="Times New Roman"/>
          <w:i/>
          <w:iCs/>
          <w:color w:val="000000"/>
          <w:sz w:val="20"/>
          <w:szCs w:val="20"/>
          <w:shd w:val="clear" w:color="auto" w:fill="FFFFFF"/>
          <w:lang w:val="en-US" w:eastAsia="zh-CN"/>
        </w:rPr>
        <w:t xml:space="preserve">ssb-PositionsInBurst </w:t>
      </w:r>
      <w:r>
        <w:rPr>
          <w:rFonts w:hint="default" w:ascii="Times New Roman" w:hAnsi="Times New Roman" w:eastAsia="MS Mincho" w:cs="Times New Roman"/>
          <w:i w:val="0"/>
          <w:iCs w:val="0"/>
          <w:color w:val="000000"/>
          <w:sz w:val="20"/>
          <w:szCs w:val="20"/>
          <w:shd w:val="clear" w:color="auto" w:fill="FFFFFF"/>
          <w:lang w:val="en-US" w:eastAsia="zh-CN"/>
        </w:rPr>
        <w:t>will be considered in step 1</w:t>
      </w:r>
      <w:r>
        <w:rPr>
          <w:rFonts w:hint="eastAsia" w:ascii="Times New Roman" w:hAnsi="Times New Roman" w:eastAsia="MS Mincho" w:cs="Times New Roman"/>
          <w:i w:val="0"/>
          <w:iCs w:val="0"/>
          <w:color w:val="000000"/>
          <w:sz w:val="20"/>
          <w:szCs w:val="20"/>
          <w:shd w:val="clear" w:color="auto" w:fill="FFFFFF"/>
          <w:lang w:val="en-US" w:eastAsia="zh-CN"/>
        </w:rPr>
        <w:t xml:space="preserve">, and </w:t>
      </w:r>
      <w:r>
        <w:rPr>
          <w:rFonts w:hint="default" w:ascii="Times New Roman" w:hAnsi="Times New Roman" w:cs="Times New Roman"/>
          <w:b w:val="0"/>
          <w:bCs w:val="0"/>
          <w:i w:val="0"/>
          <w:iCs w:val="0"/>
          <w:sz w:val="20"/>
          <w:szCs w:val="20"/>
          <w:highlight w:val="none"/>
          <w:lang w:val="en-US" w:eastAsia="zh-CN"/>
        </w:rPr>
        <w:t xml:space="preserve">step 2 defines that </w:t>
      </w:r>
      <w:r>
        <w:rPr>
          <w:rFonts w:hint="default" w:ascii="Times New Roman" w:hAnsi="Times New Roman" w:cs="Times New Roman"/>
          <w:b w:val="0"/>
          <w:bCs w:val="0"/>
          <w:i w:val="0"/>
          <w:iCs w:val="0"/>
          <w:sz w:val="20"/>
          <w:szCs w:val="20"/>
          <w:lang w:val="en-US" w:eastAsia="zh-CN"/>
        </w:rPr>
        <w:t>Rel-15/16 dropping rules should be reused</w:t>
      </w:r>
      <w:r>
        <w:rPr>
          <w:rFonts w:hint="default" w:ascii="Times New Roman" w:hAnsi="Times New Roman" w:eastAsia="MS Mincho" w:cs="Times New Roman"/>
          <w:i/>
          <w:iCs/>
          <w:color w:val="000000"/>
          <w:sz w:val="20"/>
          <w:szCs w:val="20"/>
          <w:shd w:val="clear" w:color="auto" w:fill="FFFFFF"/>
          <w:lang w:val="en-US" w:eastAsia="zh-CN"/>
        </w:rPr>
        <w:t xml:space="preserve">. </w:t>
      </w:r>
      <w:r>
        <w:rPr>
          <w:rFonts w:hint="default" w:ascii="Times New Roman" w:hAnsi="Times New Roman" w:eastAsia="MS Mincho" w:cs="Times New Roman"/>
          <w:i w:val="0"/>
          <w:iCs w:val="0"/>
          <w:color w:val="000000"/>
          <w:sz w:val="20"/>
          <w:szCs w:val="20"/>
          <w:shd w:val="clear" w:color="auto" w:fill="FFFFFF"/>
          <w:lang w:val="en-US" w:eastAsia="zh-CN"/>
        </w:rPr>
        <w:t xml:space="preserve">Therefore, we think this should also apply to </w:t>
      </w:r>
      <w:r>
        <w:rPr>
          <w:rFonts w:hint="default" w:ascii="Times New Roman" w:hAnsi="Times New Roman" w:cs="Times New Roman"/>
          <w:b w:val="0"/>
          <w:bCs w:val="0"/>
          <w:i w:val="0"/>
          <w:iCs w:val="0"/>
          <w:sz w:val="20"/>
          <w:szCs w:val="20"/>
          <w:highlight w:val="none"/>
          <w:lang w:val="en-US" w:eastAsia="zh-CN"/>
        </w:rPr>
        <w:t xml:space="preserve">SSB from </w:t>
      </w:r>
      <w:r>
        <w:rPr>
          <w:rFonts w:hint="eastAsia" w:ascii="Times New Roman" w:hAnsi="Times New Roman" w:cs="Times New Roman"/>
          <w:b w:val="0"/>
          <w:bCs w:val="0"/>
          <w:i w:val="0"/>
          <w:iCs w:val="0"/>
          <w:sz w:val="20"/>
          <w:szCs w:val="20"/>
          <w:highlight w:val="none"/>
          <w:lang w:val="en-US" w:eastAsia="zh-CN"/>
        </w:rPr>
        <w:t>other</w:t>
      </w:r>
      <w:r>
        <w:rPr>
          <w:rFonts w:hint="default" w:ascii="Times New Roman" w:hAnsi="Times New Roman" w:cs="Times New Roman"/>
          <w:b w:val="0"/>
          <w:bCs w:val="0"/>
          <w:i w:val="0"/>
          <w:iCs w:val="0"/>
          <w:sz w:val="20"/>
          <w:szCs w:val="20"/>
          <w:highlight w:val="none"/>
          <w:lang w:val="en-US" w:eastAsia="zh-CN"/>
        </w:rPr>
        <w:t xml:space="preserve"> serving cells and </w:t>
      </w:r>
      <w:r>
        <w:rPr>
          <w:rFonts w:hint="default" w:ascii="Times New Roman" w:hAnsi="Times New Roman" w:cs="Times New Roman"/>
          <w:b w:val="0"/>
          <w:bCs w:val="0"/>
          <w:i/>
          <w:iCs/>
          <w:sz w:val="20"/>
          <w:szCs w:val="20"/>
          <w:highlight w:val="none"/>
          <w:lang w:val="en-US" w:eastAsia="zh-CN"/>
        </w:rPr>
        <w:t>DL-Configurations</w:t>
      </w:r>
      <w:r>
        <w:rPr>
          <w:rFonts w:hint="default" w:ascii="Times New Roman" w:hAnsi="Times New Roman" w:cs="Times New Roman"/>
          <w:b w:val="0"/>
          <w:bCs w:val="0"/>
          <w:i w:val="0"/>
          <w:iCs w:val="0"/>
          <w:sz w:val="20"/>
          <w:szCs w:val="20"/>
          <w:highlight w:val="none"/>
          <w:lang w:val="en-US" w:eastAsia="zh-CN"/>
        </w:rPr>
        <w:t xml:space="preserve"> from reference cell</w:t>
      </w:r>
      <w:bookmarkStart w:id="5" w:name="_GoBack"/>
      <w:bookmarkEnd w:id="5"/>
      <w:r>
        <w:rPr>
          <w:rFonts w:hint="default" w:ascii="Times New Roman" w:hAnsi="Times New Roman" w:cs="Times New Roman"/>
          <w:b w:val="0"/>
          <w:bCs w:val="0"/>
          <w:i w:val="0"/>
          <w:iCs w:val="0"/>
          <w:sz w:val="20"/>
          <w:szCs w:val="20"/>
          <w:highlight w:val="none"/>
          <w:lang w:val="en-US" w:eastAsia="zh-CN"/>
        </w:rPr>
        <w:t>.</w:t>
      </w:r>
    </w:p>
    <w:p>
      <w:pPr>
        <w:rPr>
          <w:rFonts w:hint="default"/>
          <w:b w:val="0"/>
          <w:bCs w:val="0"/>
          <w:i/>
          <w:iCs/>
          <w:lang w:val="en-US" w:eastAsia="zh-CN"/>
        </w:rPr>
      </w:pPr>
      <w:r>
        <w:rPr>
          <w:rFonts w:hint="eastAsia"/>
          <w:b/>
          <w:bCs/>
          <w:i/>
          <w:iCs/>
          <w:lang w:eastAsia="zh-CN"/>
        </w:rPr>
        <w:t>Proposal</w:t>
      </w:r>
      <w:r>
        <w:rPr>
          <w:rFonts w:hint="eastAsia"/>
          <w:b/>
          <w:bCs/>
          <w:i/>
          <w:iCs/>
          <w:lang w:val="en-US" w:eastAsia="zh-CN"/>
        </w:rPr>
        <w:t xml:space="preserve"> 2</w:t>
      </w:r>
      <w:r>
        <w:rPr>
          <w:rFonts w:hint="eastAsia"/>
          <w:b w:val="0"/>
          <w:bCs w:val="0"/>
          <w:i/>
          <w:iCs/>
          <w:lang w:eastAsia="zh-CN"/>
        </w:rPr>
        <w:t>:</w:t>
      </w:r>
      <w:r>
        <w:rPr>
          <w:rFonts w:hint="eastAsia"/>
          <w:b w:val="0"/>
          <w:bCs w:val="0"/>
          <w:i/>
          <w:iCs/>
          <w:lang w:val="en-US" w:eastAsia="zh-CN"/>
        </w:rPr>
        <w:t xml:space="preserve"> For </w:t>
      </w:r>
      <w:r>
        <w:rPr>
          <w:rFonts w:hint="eastAsia" w:ascii="Times New Roman" w:hAnsi="Times New Roman" w:cs="Times New Roman"/>
          <w:b w:val="0"/>
          <w:bCs w:val="0"/>
          <w:i/>
          <w:iCs/>
          <w:lang w:val="en-US" w:eastAsia="zh-CN"/>
        </w:rPr>
        <w:t xml:space="preserve">half duplex CA, </w:t>
      </w:r>
      <w:r>
        <w:rPr>
          <w:rFonts w:hint="default"/>
          <w:b w:val="0"/>
          <w:bCs w:val="0"/>
          <w:i/>
          <w:iCs/>
          <w:lang w:val="en-US" w:eastAsia="zh-CN"/>
        </w:rPr>
        <w:t>SSB</w:t>
      </w:r>
      <w:r>
        <w:rPr>
          <w:rFonts w:hint="eastAsia"/>
          <w:b w:val="0"/>
          <w:bCs w:val="0"/>
          <w:i/>
          <w:iCs/>
          <w:lang w:val="en-US" w:eastAsia="zh-CN"/>
        </w:rPr>
        <w:t xml:space="preserve"> transmissions </w:t>
      </w:r>
      <w:r>
        <w:rPr>
          <w:rFonts w:hint="default"/>
          <w:b w:val="0"/>
          <w:bCs w:val="0"/>
          <w:i/>
          <w:iCs/>
          <w:lang w:val="en-US" w:eastAsia="zh-CN"/>
        </w:rPr>
        <w:t>from other cells or</w:t>
      </w:r>
      <w:r>
        <w:rPr>
          <w:rFonts w:hint="eastAsia"/>
          <w:b w:val="0"/>
          <w:bCs w:val="0"/>
          <w:i/>
          <w:iCs/>
          <w:lang w:val="en-US" w:eastAsia="zh-CN"/>
        </w:rPr>
        <w:t xml:space="preserve"> DL-UL-Configurations </w:t>
      </w:r>
      <w:r>
        <w:rPr>
          <w:rFonts w:hint="default"/>
          <w:b w:val="0"/>
          <w:bCs w:val="0"/>
          <w:i/>
          <w:iCs/>
          <w:lang w:val="en-US" w:eastAsia="zh-CN"/>
        </w:rPr>
        <w:t>from reference cell</w:t>
      </w:r>
      <w:r>
        <w:rPr>
          <w:rFonts w:hint="eastAsia"/>
          <w:b w:val="0"/>
          <w:bCs w:val="0"/>
          <w:i/>
          <w:iCs/>
          <w:lang w:val="en-US" w:eastAsia="zh-CN"/>
        </w:rPr>
        <w:t xml:space="preserve"> </w:t>
      </w:r>
      <w:r>
        <w:rPr>
          <w:rFonts w:hint="default"/>
          <w:b w:val="0"/>
          <w:bCs w:val="0"/>
          <w:i/>
          <w:iCs/>
          <w:lang w:val="en-US" w:eastAsia="zh-CN"/>
        </w:rPr>
        <w:t xml:space="preserve">should not be used </w:t>
      </w:r>
      <w:r>
        <w:rPr>
          <w:rFonts w:hint="eastAsia"/>
          <w:b w:val="0"/>
          <w:bCs w:val="0"/>
          <w:i/>
          <w:iCs/>
          <w:lang w:val="en-US" w:eastAsia="zh-CN"/>
        </w:rPr>
        <w:t>to determine the available slot.</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tabs>
          <w:tab w:val="left" w:pos="4000"/>
        </w:tabs>
        <w:rPr>
          <w:rFonts w:hint="default" w:eastAsia="Yu Mincho"/>
          <w:i/>
          <w:iCs/>
          <w:sz w:val="20"/>
          <w:szCs w:val="20"/>
          <w:lang w:val="en-US" w:eastAsia="ja-JP"/>
        </w:rPr>
      </w:pPr>
      <w:r>
        <w:rPr>
          <w:rFonts w:hint="default" w:eastAsia="Yu Mincho"/>
          <w:b/>
          <w:bCs/>
          <w:i/>
          <w:iCs/>
          <w:sz w:val="20"/>
          <w:szCs w:val="20"/>
          <w:lang w:val="en-US" w:eastAsia="ja-JP"/>
        </w:rPr>
        <w:t>Proposal 1:</w:t>
      </w:r>
      <w:r>
        <w:rPr>
          <w:rFonts w:hint="default" w:eastAsia="Yu Mincho"/>
          <w:i/>
          <w:iCs/>
          <w:sz w:val="20"/>
          <w:szCs w:val="20"/>
          <w:lang w:val="en-US" w:eastAsia="ja-JP"/>
        </w:rPr>
        <w:t xml:space="preserve"> </w:t>
      </w:r>
      <w:r>
        <w:rPr>
          <w:rFonts w:hint="default"/>
          <w:i/>
          <w:iCs/>
          <w:lang w:val="en-US" w:eastAsia="zh-CN"/>
        </w:rPr>
        <w:t>The SSB from non-serving cell should not be considered in multi-TRP operation when determining available slots.</w:t>
      </w:r>
    </w:p>
    <w:p>
      <w:pPr>
        <w:rPr>
          <w:rFonts w:hint="default"/>
          <w:b w:val="0"/>
          <w:bCs w:val="0"/>
          <w:i/>
          <w:iCs/>
          <w:lang w:val="en-US" w:eastAsia="zh-CN"/>
        </w:rPr>
      </w:pPr>
      <w:r>
        <w:rPr>
          <w:rFonts w:hint="eastAsia"/>
          <w:b/>
          <w:bCs/>
          <w:i/>
          <w:iCs/>
          <w:lang w:eastAsia="zh-CN"/>
        </w:rPr>
        <w:t>Proposal</w:t>
      </w:r>
      <w:r>
        <w:rPr>
          <w:rFonts w:hint="eastAsia"/>
          <w:b/>
          <w:bCs/>
          <w:i/>
          <w:iCs/>
          <w:lang w:val="en-US" w:eastAsia="zh-CN"/>
        </w:rPr>
        <w:t xml:space="preserve"> 2</w:t>
      </w:r>
      <w:r>
        <w:rPr>
          <w:rFonts w:hint="eastAsia"/>
          <w:b w:val="0"/>
          <w:bCs w:val="0"/>
          <w:i/>
          <w:iCs/>
          <w:lang w:eastAsia="zh-CN"/>
        </w:rPr>
        <w:t>:</w:t>
      </w:r>
      <w:r>
        <w:rPr>
          <w:rFonts w:hint="eastAsia"/>
          <w:b w:val="0"/>
          <w:bCs w:val="0"/>
          <w:i/>
          <w:iCs/>
          <w:lang w:val="en-US" w:eastAsia="zh-CN"/>
        </w:rPr>
        <w:t xml:space="preserve"> For </w:t>
      </w:r>
      <w:r>
        <w:rPr>
          <w:rFonts w:hint="eastAsia" w:ascii="Times New Roman" w:hAnsi="Times New Roman" w:cs="Times New Roman"/>
          <w:b w:val="0"/>
          <w:bCs w:val="0"/>
          <w:i/>
          <w:iCs/>
          <w:lang w:val="en-US" w:eastAsia="zh-CN"/>
        </w:rPr>
        <w:t xml:space="preserve">half duplex CA, </w:t>
      </w:r>
      <w:r>
        <w:rPr>
          <w:rFonts w:hint="eastAsia"/>
          <w:b w:val="0"/>
          <w:bCs w:val="0"/>
          <w:i/>
          <w:iCs/>
          <w:lang w:val="en-US" w:eastAsia="zh-CN"/>
        </w:rPr>
        <w:t xml:space="preserve">SSB transmissions </w:t>
      </w:r>
      <w:r>
        <w:rPr>
          <w:rFonts w:hint="default"/>
          <w:b w:val="0"/>
          <w:bCs w:val="0"/>
          <w:i/>
          <w:iCs/>
          <w:lang w:val="en-US" w:eastAsia="zh-CN"/>
        </w:rPr>
        <w:t>from other cells or</w:t>
      </w:r>
      <w:r>
        <w:rPr>
          <w:rFonts w:hint="eastAsia"/>
          <w:b w:val="0"/>
          <w:bCs w:val="0"/>
          <w:i/>
          <w:iCs/>
          <w:lang w:val="en-US" w:eastAsia="zh-CN"/>
        </w:rPr>
        <w:t xml:space="preserve"> DL-UL-Configurations </w:t>
      </w:r>
      <w:r>
        <w:rPr>
          <w:rFonts w:hint="default"/>
          <w:b w:val="0"/>
          <w:bCs w:val="0"/>
          <w:i/>
          <w:iCs/>
          <w:lang w:val="en-US" w:eastAsia="zh-CN"/>
        </w:rPr>
        <w:t>from reference cell</w:t>
      </w:r>
      <w:r>
        <w:rPr>
          <w:rFonts w:hint="eastAsia"/>
          <w:b w:val="0"/>
          <w:bCs w:val="0"/>
          <w:i/>
          <w:iCs/>
          <w:lang w:val="en-US" w:eastAsia="zh-CN"/>
        </w:rPr>
        <w:t xml:space="preserve"> </w:t>
      </w:r>
      <w:r>
        <w:rPr>
          <w:rFonts w:hint="default"/>
          <w:b w:val="0"/>
          <w:bCs w:val="0"/>
          <w:i/>
          <w:iCs/>
          <w:lang w:val="en-US" w:eastAsia="zh-CN"/>
        </w:rPr>
        <w:t xml:space="preserve">should not be used </w:t>
      </w:r>
      <w:r>
        <w:rPr>
          <w:rFonts w:hint="eastAsia"/>
          <w:b w:val="0"/>
          <w:bCs w:val="0"/>
          <w:i/>
          <w:iCs/>
          <w:lang w:val="en-US" w:eastAsia="zh-CN"/>
        </w:rPr>
        <w:t>to determine the available slot.</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RAN1#107-e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eastAsia="zh-CN"/>
        </w:rPr>
      </w:pPr>
      <w:r>
        <w:rPr>
          <w:rFonts w:hint="eastAsia"/>
          <w:highlight w:val="none"/>
          <w:lang w:val="en-US" w:eastAsia="zh-CN"/>
        </w:rPr>
        <w:t xml:space="preserve">3GPP </w:t>
      </w:r>
      <w:r>
        <w:rPr>
          <w:rFonts w:hint="eastAsia" w:cs="Times New Roman"/>
          <w:sz w:val="20"/>
          <w:szCs w:val="15"/>
          <w:highlight w:val="none"/>
          <w:lang w:val="en-US" w:eastAsia="zh-CN"/>
        </w:rPr>
        <w:t>RAN1#107-e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R1-2112521, FL Summary #3 on Enhancements on PUSCH repetition type A.</w:t>
      </w:r>
    </w:p>
    <w:p>
      <w:pPr>
        <w:pStyle w:val="126"/>
        <w:rPr>
          <w:lang w:eastAsia="zh-CN"/>
        </w:rPr>
      </w:pPr>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RAN1#106bis-e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lang w:eastAsia="zh-CN"/>
        </w:rPr>
      </w:pPr>
      <w:r>
        <w:rPr>
          <w:rFonts w:hint="eastAsia"/>
          <w:highlight w:val="none"/>
          <w:lang w:val="en-US" w:eastAsia="zh-CN"/>
        </w:rPr>
        <w:t xml:space="preserve">3GPP </w:t>
      </w:r>
      <w:r>
        <w:rPr>
          <w:rFonts w:hint="eastAsia" w:cs="Times New Roman"/>
          <w:sz w:val="20"/>
          <w:szCs w:val="15"/>
          <w:highlight w:val="none"/>
          <w:lang w:val="en-US" w:eastAsia="zh-CN"/>
        </w:rPr>
        <w:t>RAN1#107-e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R1-2112816, Feature lead summary on Enhancements on Multi-TRP inter-cell operation.</w:t>
      </w:r>
      <w:bookmarkEnd w:id="3"/>
    </w:p>
    <w:p>
      <w:pPr>
        <w:pStyle w:val="2"/>
        <w:rPr>
          <w:lang w:eastAsia="zh-CN"/>
        </w:rPr>
      </w:pPr>
      <w:r>
        <w:rPr>
          <w:rFonts w:hint="eastAsia"/>
          <w:lang w:val="en-US" w:eastAsia="zh-CN"/>
        </w:rPr>
        <w:t>Appendix</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highlight w:val="none"/>
                <w:lang w:val="en-US" w:eastAsia="zh-CN"/>
              </w:rPr>
            </w:pPr>
            <w:r>
              <w:rPr>
                <w:rFonts w:hint="eastAsia"/>
                <w:highlight w:val="none"/>
                <w:lang w:val="en-US" w:eastAsia="zh-CN"/>
              </w:rPr>
              <w:t>38.213 11.1</w:t>
            </w:r>
          </w:p>
          <w:p>
            <w:pPr>
              <w:spacing w:before="120" w:line="280" w:lineRule="atLeast"/>
              <w:rPr>
                <w:rFonts w:hint="default"/>
                <w:highlight w:val="none"/>
                <w:lang w:val="en-US" w:eastAsia="zh-CN"/>
              </w:rPr>
            </w:pPr>
            <w:r>
              <w:rPr>
                <w:rFonts w:hint="eastAsia"/>
                <w:highlight w:val="none"/>
                <w:lang w:val="en-US" w:eastAsia="zh-CN"/>
              </w:rPr>
              <w:t>...</w:t>
            </w:r>
          </w:p>
          <w:p>
            <w:pPr>
              <w:spacing w:before="120" w:line="280" w:lineRule="atLeast"/>
              <w:rPr>
                <w:highlight w:val="none"/>
                <w:lang w:val="en-US"/>
              </w:rPr>
            </w:pPr>
            <w:r>
              <w:rPr>
                <w:highlight w:val="none"/>
                <w:lang w:val="en-US"/>
              </w:rPr>
              <w:t xml:space="preserve">If a UE </w:t>
            </w:r>
          </w:p>
          <w:p>
            <w:pPr>
              <w:pStyle w:val="87"/>
              <w:spacing w:before="120" w:line="280" w:lineRule="atLeast"/>
              <w:rPr>
                <w:highlight w:val="none"/>
              </w:rPr>
            </w:pPr>
            <w:r>
              <w:rPr>
                <w:highlight w:val="none"/>
              </w:rPr>
              <w:t>-</w:t>
            </w:r>
            <w:r>
              <w:rPr>
                <w:highlight w:val="none"/>
              </w:rPr>
              <w:tab/>
            </w:r>
            <w:r>
              <w:rPr>
                <w:highlight w:val="none"/>
              </w:rPr>
              <w:t xml:space="preserve">is configured with multiple serving cells and is provided with </w:t>
            </w:r>
            <w:r>
              <w:rPr>
                <w:i/>
                <w:highlight w:val="none"/>
              </w:rPr>
              <w:t xml:space="preserve">directionalCollisionHandling-r16 </w:t>
            </w:r>
            <w:r>
              <w:rPr>
                <w:highlight w:val="none"/>
              </w:rPr>
              <w:t>= 'enable</w:t>
            </w:r>
            <w:r>
              <w:rPr>
                <w:highlight w:val="none"/>
                <w:lang w:val="en-US"/>
              </w:rPr>
              <w:t>d</w:t>
            </w:r>
            <w:r>
              <w:rPr>
                <w:highlight w:val="none"/>
              </w:rPr>
              <w:t>'</w:t>
            </w:r>
            <w:r>
              <w:rPr>
                <w:highlight w:val="none"/>
                <w:lang w:val="en-US"/>
              </w:rPr>
              <w:t xml:space="preserve"> </w:t>
            </w:r>
            <w:r>
              <w:rPr>
                <w:highlight w:val="none"/>
              </w:rPr>
              <w:t xml:space="preserve">for a set of serving cell(s) among the multiple serving cells, </w:t>
            </w:r>
            <w:r>
              <w:rPr>
                <w:rFonts w:eastAsia="等线"/>
                <w:highlight w:val="none"/>
                <w:lang w:val="en-US"/>
              </w:rPr>
              <w:t>and</w:t>
            </w:r>
          </w:p>
          <w:p>
            <w:pPr>
              <w:pStyle w:val="87"/>
              <w:spacing w:before="120" w:line="280" w:lineRule="atLeast"/>
              <w:rPr>
                <w:highlight w:val="none"/>
              </w:rPr>
            </w:pPr>
            <w:r>
              <w:rPr>
                <w:highlight w:val="none"/>
              </w:rPr>
              <w:t>-</w:t>
            </w:r>
            <w:r>
              <w:rPr>
                <w:highlight w:val="none"/>
              </w:rPr>
              <w:tab/>
            </w:r>
            <w:r>
              <w:rPr>
                <w:highlight w:val="none"/>
              </w:rPr>
              <w:t xml:space="preserve">indicates support of </w:t>
            </w:r>
            <w:r>
              <w:rPr>
                <w:rFonts w:eastAsia="MS Mincho"/>
                <w:i/>
                <w:iCs/>
                <w:color w:val="000000"/>
                <w:highlight w:val="none"/>
              </w:rPr>
              <w:t xml:space="preserve">half-DuplexTDD-CA-SameSCS-r16 </w:t>
            </w:r>
            <w:r>
              <w:rPr>
                <w:rFonts w:eastAsia="MS Mincho"/>
                <w:color w:val="000000"/>
                <w:highlight w:val="none"/>
              </w:rPr>
              <w:t>capability</w:t>
            </w:r>
            <w:r>
              <w:rPr>
                <w:highlight w:val="none"/>
              </w:rPr>
              <w:t xml:space="preserve">, and </w:t>
            </w:r>
          </w:p>
          <w:p>
            <w:pPr>
              <w:pStyle w:val="87"/>
              <w:spacing w:before="120" w:line="280" w:lineRule="atLeast"/>
              <w:rPr>
                <w:highlight w:val="none"/>
              </w:rPr>
            </w:pPr>
            <w:r>
              <w:rPr>
                <w:highlight w:val="none"/>
              </w:rPr>
              <w:t>-</w:t>
            </w:r>
            <w:r>
              <w:rPr>
                <w:highlight w:val="none"/>
              </w:rPr>
              <w:tab/>
            </w:r>
            <w:r>
              <w:rPr>
                <w:highlight w:val="none"/>
              </w:rPr>
              <w:t xml:space="preserve">is not configured to monitor PDCCH for detection of DCI format 2_0 </w:t>
            </w:r>
            <w:r>
              <w:rPr>
                <w:rFonts w:eastAsia="等线"/>
                <w:highlight w:val="none"/>
                <w:lang w:eastAsia="zh-CN"/>
              </w:rPr>
              <w:t>on any of the multiple serving cells,</w:t>
            </w:r>
          </w:p>
          <w:p>
            <w:pPr>
              <w:spacing w:before="120" w:line="280" w:lineRule="atLeast"/>
              <w:rPr>
                <w:highlight w:val="none"/>
                <w:lang w:val="en-US"/>
              </w:rPr>
            </w:pPr>
            <w:r>
              <w:rPr>
                <w:highlight w:val="none"/>
                <w:lang w:val="en-US"/>
              </w:rPr>
              <w:t>for a set of symbols of a slot that are indicated to</w:t>
            </w:r>
            <w:r>
              <w:rPr>
                <w:highlight w:val="yellow"/>
                <w:lang w:val="en-US"/>
              </w:rPr>
              <w:t xml:space="preserve"> the UE for reception of SS/PBCH blocks in a first cell of the multiple serving cells by </w:t>
            </w:r>
            <w:r>
              <w:rPr>
                <w:i/>
                <w:iCs/>
                <w:highlight w:val="yellow"/>
                <w:lang w:val="en-US"/>
              </w:rPr>
              <w:t>ssb-PositionsInBurst</w:t>
            </w:r>
            <w:r>
              <w:rPr>
                <w:highlight w:val="yellow"/>
                <w:lang w:val="en-US"/>
              </w:rPr>
              <w:t xml:space="preserve"> in </w:t>
            </w:r>
            <w:r>
              <w:rPr>
                <w:i/>
                <w:iCs/>
                <w:highlight w:val="yellow"/>
                <w:lang w:val="en-US"/>
              </w:rPr>
              <w:t>SystemInformationBlockType1</w:t>
            </w:r>
            <w:r>
              <w:rPr>
                <w:highlight w:val="yellow"/>
                <w:lang w:val="en-US"/>
              </w:rPr>
              <w:t xml:space="preserve"> or by </w:t>
            </w:r>
            <w:r>
              <w:rPr>
                <w:i/>
                <w:iCs/>
                <w:highlight w:val="yellow"/>
                <w:lang w:val="en-US"/>
              </w:rPr>
              <w:t>ssb-PositionsInBurst</w:t>
            </w:r>
            <w:r>
              <w:rPr>
                <w:highlight w:val="yellow"/>
                <w:lang w:val="en-US"/>
              </w:rPr>
              <w:t xml:space="preserve"> in </w:t>
            </w:r>
            <w:r>
              <w:rPr>
                <w:i/>
                <w:iCs/>
                <w:highlight w:val="yellow"/>
                <w:lang w:val="en-US"/>
              </w:rPr>
              <w:t>ServingCellConfigCommon</w:t>
            </w:r>
            <w:r>
              <w:rPr>
                <w:highlight w:val="yellow"/>
                <w:lang w:val="en-US"/>
              </w:rPr>
              <w:t>,</w:t>
            </w:r>
            <w:r>
              <w:rPr>
                <w:highlight w:val="none"/>
                <w:lang w:val="en-US"/>
              </w:rPr>
              <w:t xml:space="preserve"> when provided to the UE, </w:t>
            </w:r>
            <w:r>
              <w:rPr>
                <w:highlight w:val="yellow"/>
                <w:lang w:val="en-US"/>
              </w:rPr>
              <w:t xml:space="preserve">the UE does not transmit PUSCH, PUCCH, or PRACH in the slot if a transmission would overlap with any symbol from the set of symbols, </w:t>
            </w:r>
            <w:r>
              <w:rPr>
                <w:highlight w:val="none"/>
                <w:lang w:val="en-US"/>
              </w:rPr>
              <w:t xml:space="preserve">and the UE does not transmit SRS in the set of symbols of the slot in </w:t>
            </w:r>
          </w:p>
          <w:p>
            <w:pPr>
              <w:pStyle w:val="87"/>
              <w:spacing w:before="120" w:line="280" w:lineRule="atLeast"/>
            </w:pPr>
            <w:r>
              <w:rPr>
                <w:lang w:val="en-US"/>
              </w:rPr>
              <w:t>-</w:t>
            </w:r>
            <w:r>
              <w:rPr>
                <w:lang w:val="en-US"/>
              </w:rPr>
              <w:tab/>
            </w:r>
            <w:r>
              <w:rPr>
                <w:highlight w:val="yellow"/>
                <w:lang w:val="en-US"/>
              </w:rPr>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pPr>
              <w:pStyle w:val="87"/>
              <w:spacing w:before="120" w:line="280" w:lineRule="atLeast"/>
              <w:rPr>
                <w:lang w:val="en-US"/>
              </w:rPr>
            </w:pPr>
            <w:r>
              <w:t>-</w:t>
            </w:r>
            <w:r>
              <w:tab/>
            </w:r>
            <w:r>
              <w:t xml:space="preserve">any one of the cells corresponding to the same band as the first cell, irrespective of any capability indicated by </w:t>
            </w:r>
            <w:r>
              <w:rPr>
                <w:i/>
                <w:iCs/>
              </w:rPr>
              <w:t>simultaneousRxTxInterBandCA</w:t>
            </w:r>
            <w:r>
              <w:rPr>
                <w:lang w:val="en-US"/>
              </w:rPr>
              <w:t>.</w:t>
            </w:r>
          </w:p>
          <w:p>
            <w:pPr>
              <w:pStyle w:val="126"/>
              <w:numPr>
                <w:ilvl w:val="0"/>
                <w:numId w:val="0"/>
              </w:numPr>
              <w:spacing w:before="120" w:line="280" w:lineRule="atLeast"/>
              <w:rPr>
                <w:rFonts w:hint="eastAsia" w:cs="Times New Roman"/>
                <w:sz w:val="20"/>
                <w:szCs w:val="15"/>
                <w:highlight w:val="none"/>
                <w:vertAlign w:val="baseline"/>
                <w:lang w:val="en-US" w:eastAsia="zh-CN"/>
              </w:rPr>
            </w:pPr>
            <w:r>
              <w:rPr>
                <w:rFonts w:hint="eastAsia" w:cs="Times New Roman"/>
                <w:sz w:val="20"/>
                <w:szCs w:val="15"/>
                <w:highlight w:val="none"/>
                <w:vertAlign w:val="baseline"/>
                <w:lang w:val="en-US" w:eastAsia="zh-CN"/>
              </w:rPr>
              <w:t>...</w:t>
            </w:r>
          </w:p>
          <w:p>
            <w:pPr>
              <w:spacing w:before="120" w:line="280" w:lineRule="atLeast"/>
              <w:rPr>
                <w:lang w:val="en-US"/>
              </w:rPr>
            </w:pPr>
            <w:r>
              <w:rPr>
                <w:lang w:val="en-US" w:eastAsia="fr-FR"/>
              </w:rPr>
              <w:t>If a</w:t>
            </w:r>
            <w:r>
              <w:rPr>
                <w:lang w:val="en-US"/>
              </w:rPr>
              <w:t xml:space="preserve"> UE</w:t>
            </w:r>
          </w:p>
          <w:p>
            <w:pPr>
              <w:pStyle w:val="87"/>
              <w:spacing w:before="120" w:line="280" w:lineRule="atLeast"/>
              <w:rPr>
                <w:lang w:val="en-US"/>
              </w:rPr>
            </w:pPr>
            <w:r>
              <w:rPr>
                <w:lang w:val="en-US"/>
              </w:rPr>
              <w:t>-</w:t>
            </w:r>
            <w:r>
              <w:rPr>
                <w:lang w:val="en-US"/>
              </w:rPr>
              <w:tab/>
            </w:r>
            <w:r>
              <w:rPr>
                <w:lang w:val="en-US"/>
              </w:rPr>
              <w:t xml:space="preserve">is configured with multiple serving cells and is provided </w:t>
            </w:r>
            <w:r>
              <w:t xml:space="preserve">with </w:t>
            </w:r>
            <w:r>
              <w:rPr>
                <w:i/>
              </w:rPr>
              <w:t>directionalCollisionHandling-r16</w:t>
            </w:r>
            <w:r>
              <w:rPr>
                <w:i/>
                <w:lang w:val="en-US"/>
              </w:rPr>
              <w:t xml:space="preserve"> </w:t>
            </w:r>
            <w:r>
              <w:rPr>
                <w:lang w:val="en-US"/>
              </w:rPr>
              <w:t xml:space="preserve">= 'enabled' </w:t>
            </w:r>
            <w:r>
              <w:t>for a set of serving cell(s) among the configured multiple serving cells</w:t>
            </w:r>
            <w:r>
              <w:rPr>
                <w:lang w:val="en-US"/>
              </w:rPr>
              <w:t>, and</w:t>
            </w:r>
          </w:p>
          <w:p>
            <w:pPr>
              <w:pStyle w:val="87"/>
              <w:spacing w:before="120" w:line="280" w:lineRule="atLeast"/>
              <w:rPr>
                <w:lang w:val="en-US"/>
              </w:rPr>
            </w:pPr>
            <w:r>
              <w:rPr>
                <w:lang w:val="en-US"/>
              </w:rPr>
              <w:t>-</w:t>
            </w:r>
            <w:r>
              <w:rPr>
                <w:lang w:val="en-US"/>
              </w:rPr>
              <w:tab/>
            </w:r>
            <w:r>
              <w:rPr>
                <w:lang w:val="en-US"/>
              </w:rPr>
              <w:t xml:space="preserve">indicates support of </w:t>
            </w:r>
            <w:r>
              <w:rPr>
                <w:rFonts w:eastAsia="MS Mincho"/>
                <w:i/>
                <w:iCs/>
                <w:color w:val="000000"/>
              </w:rPr>
              <w:t xml:space="preserve">half-DuplexTDD-CA-SameSCS-r16 </w:t>
            </w:r>
            <w:r>
              <w:rPr>
                <w:rFonts w:eastAsia="MS Mincho"/>
                <w:color w:val="000000"/>
              </w:rPr>
              <w:t>capability</w:t>
            </w:r>
            <w:r>
              <w:rPr>
                <w:lang w:val="en-US"/>
              </w:rPr>
              <w:t xml:space="preserve">, and </w:t>
            </w:r>
          </w:p>
          <w:p>
            <w:pPr>
              <w:pStyle w:val="87"/>
              <w:spacing w:before="120" w:line="280" w:lineRule="atLeast"/>
              <w:rPr>
                <w:lang w:val="en-US"/>
              </w:rPr>
            </w:pPr>
            <w:r>
              <w:rPr>
                <w:lang w:val="en-US"/>
              </w:rPr>
              <w:t>-</w:t>
            </w:r>
            <w:r>
              <w:rPr>
                <w:lang w:val="en-US"/>
              </w:rPr>
              <w:tab/>
            </w:r>
            <w:r>
              <w:rPr>
                <w:lang w:val="en-US"/>
              </w:rPr>
              <w:t>is not configured to monitor PDCCH for detection of DCI format 2_0</w:t>
            </w:r>
            <w:r>
              <w:rPr>
                <w:rFonts w:eastAsia="等线"/>
                <w:lang w:eastAsia="zh-CN"/>
              </w:rPr>
              <w:t xml:space="preserve"> on any of the multiple serving cells</w:t>
            </w:r>
            <w:r>
              <w:rPr>
                <w:lang w:val="en-US"/>
              </w:rPr>
              <w:t xml:space="preserve">, </w:t>
            </w:r>
          </w:p>
          <w:p>
            <w:pPr>
              <w:pStyle w:val="126"/>
              <w:numPr>
                <w:ilvl w:val="0"/>
                <w:numId w:val="0"/>
              </w:numPr>
              <w:spacing w:before="120" w:line="280" w:lineRule="atLeast"/>
              <w:rPr>
                <w:rFonts w:hint="eastAsia" w:cs="Times New Roman"/>
                <w:sz w:val="20"/>
                <w:szCs w:val="15"/>
                <w:highlight w:val="none"/>
                <w:vertAlign w:val="baseline"/>
                <w:lang w:val="en-US" w:eastAsia="zh-CN"/>
              </w:rPr>
            </w:pPr>
            <w:r>
              <w:rPr>
                <w:rFonts w:hint="eastAsia" w:cs="Times New Roman"/>
                <w:sz w:val="20"/>
                <w:szCs w:val="15"/>
                <w:highlight w:val="none"/>
                <w:vertAlign w:val="baseline"/>
                <w:lang w:val="en-US" w:eastAsia="zh-CN"/>
              </w:rPr>
              <w:t>...</w:t>
            </w:r>
          </w:p>
          <w:p>
            <w:pPr>
              <w:spacing w:before="120" w:line="280" w:lineRule="atLeast"/>
              <w:rPr>
                <w:lang w:val="en-US"/>
              </w:rPr>
            </w:pPr>
            <w:r>
              <w:rPr>
                <w:lang w:val="en-US"/>
              </w:rPr>
              <w:t xml:space="preserve">the UE </w:t>
            </w:r>
          </w:p>
          <w:p>
            <w:pPr>
              <w:pStyle w:val="87"/>
              <w:spacing w:before="120" w:line="280" w:lineRule="atLeast"/>
              <w:rPr>
                <w:lang w:val="en-US"/>
              </w:rPr>
            </w:pPr>
            <w:r>
              <w:rPr>
                <w:lang w:val="en-US"/>
              </w:rPr>
              <w:t>-</w:t>
            </w:r>
            <w:r>
              <w:rPr>
                <w:lang w:val="en-US"/>
              </w:rPr>
              <w:tab/>
            </w:r>
            <w:r>
              <w:rPr>
                <w:lang w:val="en-US"/>
              </w:rPr>
              <w:t xml:space="preserve">does not expect </w:t>
            </w:r>
            <w:r>
              <w:rPr>
                <w:i/>
                <w:iCs/>
                <w:lang w:val="en-US"/>
              </w:rPr>
              <w:t>tdd-UL-DL-ConfigurationCommon</w:t>
            </w:r>
            <w:r>
              <w:rPr>
                <w:lang w:val="en-US"/>
              </w:rPr>
              <w:t xml:space="preserve"> or </w:t>
            </w:r>
            <w:r>
              <w:rPr>
                <w:i/>
                <w:iCs/>
                <w:lang w:val="en-US"/>
              </w:rPr>
              <w:t>tdd-UL-DL-ConfigurationDedicated</w:t>
            </w:r>
            <w:r>
              <w:rPr>
                <w:lang w:val="en-US"/>
              </w:rPr>
              <w:t xml:space="preserve"> for the reference cell to indicate a symbol as uplink and to detect a DCI format </w:t>
            </w:r>
            <w:r>
              <w:rPr>
                <w:rStyle w:val="58"/>
                <w:sz w:val="20"/>
                <w:lang w:val="en-US"/>
              </w:rPr>
              <w:t>scheduling</w:t>
            </w:r>
            <w:r>
              <w:rPr>
                <w:lang w:val="en-US"/>
              </w:rPr>
              <w:t xml:space="preserve"> a reception on the symbol on another cell</w:t>
            </w:r>
          </w:p>
          <w:p>
            <w:pPr>
              <w:pStyle w:val="87"/>
              <w:spacing w:before="120" w:line="280" w:lineRule="atLeast"/>
              <w:rPr>
                <w:lang w:val="en-US"/>
              </w:rPr>
            </w:pPr>
            <w:bookmarkStart w:id="4" w:name="_Hlk33186884"/>
            <w:r>
              <w:rPr>
                <w:lang w:val="en-US"/>
              </w:rPr>
              <w:t>-</w:t>
            </w:r>
            <w:r>
              <w:rPr>
                <w:lang w:val="en-US"/>
              </w:rPr>
              <w:tab/>
            </w:r>
            <w:r>
              <w:rPr>
                <w:lang w:val="en-US"/>
              </w:rPr>
              <w:t>does not expect to be configured by higher layers to transmit</w:t>
            </w:r>
            <w:r>
              <w:rPr>
                <w:bCs/>
                <w:lang w:val="en-US"/>
              </w:rPr>
              <w:t xml:space="preserve"> </w:t>
            </w:r>
            <w:r>
              <w:rPr>
                <w:lang w:val="en-US"/>
              </w:rPr>
              <w:t>SRS, PUCCH, PUSCH, or PRACH on a flexible symbol on the reference cell and to detect a DCI format scheduling a reception on the symbol on another cell</w:t>
            </w:r>
          </w:p>
          <w:bookmarkEnd w:id="4"/>
          <w:p>
            <w:pPr>
              <w:pStyle w:val="87"/>
              <w:spacing w:before="120" w:line="280" w:lineRule="atLeast"/>
              <w:rPr>
                <w:lang w:val="en-US"/>
              </w:rPr>
            </w:pPr>
            <w:r>
              <w:rPr>
                <w:lang w:val="en-US"/>
              </w:rPr>
              <w:t>-</w:t>
            </w:r>
            <w:r>
              <w:rPr>
                <w:lang w:val="en-US"/>
              </w:rPr>
              <w:tab/>
            </w:r>
            <w:r>
              <w:rPr>
                <w:highlight w:val="yellow"/>
                <w:lang w:val="en-US"/>
              </w:rPr>
              <w:t xml:space="preserve">does not transmit a PUCCH, PUSCH or PRACH that is configured by higher layers on a set of symbols on another cell if at least one symbol from the set of symbols is indicated as downlink by </w:t>
            </w:r>
            <w:r>
              <w:rPr>
                <w:i/>
                <w:iCs/>
                <w:highlight w:val="yellow"/>
                <w:lang w:val="en-US"/>
              </w:rPr>
              <w:t>tdd-UL-DL-ConfigurationCommon</w:t>
            </w:r>
            <w:r>
              <w:rPr>
                <w:highlight w:val="yellow"/>
                <w:lang w:val="en-US"/>
              </w:rPr>
              <w:t xml:space="preserve"> or </w:t>
            </w:r>
            <w:r>
              <w:rPr>
                <w:i/>
                <w:iCs/>
                <w:highlight w:val="yellow"/>
                <w:lang w:val="en-US"/>
              </w:rPr>
              <w:t>tdd-UL-DL-ConfigurationDedicated</w:t>
            </w:r>
            <w:r>
              <w:rPr>
                <w:highlight w:val="yellow"/>
                <w:lang w:val="en-US"/>
              </w:rPr>
              <w:t xml:space="preserve"> or is a symbol corresponding to a PDCCH, PDSCH, or CSI-RS reception that is configured by higher layers on the reference cell </w:t>
            </w:r>
          </w:p>
          <w:p>
            <w:pPr>
              <w:pStyle w:val="87"/>
              <w:spacing w:before="120" w:line="280" w:lineRule="atLeast"/>
              <w:rPr>
                <w:lang w:val="en-US"/>
              </w:rPr>
            </w:pPr>
            <w:r>
              <w:rPr>
                <w:lang w:val="en-US"/>
              </w:rPr>
              <w:t>-</w:t>
            </w:r>
            <w:r>
              <w:rPr>
                <w:lang w:val="en-US"/>
              </w:rPr>
              <w:tab/>
            </w:r>
            <w:r>
              <w:rPr>
                <w:lang w:val="en-US"/>
              </w:rPr>
              <w:t>does not transmit a</w:t>
            </w:r>
            <w:r>
              <w:rPr>
                <w:rStyle w:val="58"/>
                <w:sz w:val="20"/>
                <w:lang w:val="en-US"/>
              </w:rPr>
              <w:t xml:space="preserve"> SRS </w:t>
            </w:r>
            <w:r>
              <w:rPr>
                <w:lang w:val="en-US"/>
              </w:rPr>
              <w:t xml:space="preserve">that is configured by higher layers on a set of symbols on another cell if the set of symbols is indicated as downlink by </w:t>
            </w:r>
            <w:r>
              <w:rPr>
                <w:i/>
                <w:iCs/>
                <w:lang w:val="en-US"/>
              </w:rPr>
              <w:t>tdd-UL-DL-ConfigurationCommon</w:t>
            </w:r>
            <w:r>
              <w:rPr>
                <w:lang w:val="en-US"/>
              </w:rPr>
              <w:t xml:space="preserve"> or </w:t>
            </w:r>
            <w:r>
              <w:rPr>
                <w:i/>
                <w:iCs/>
                <w:lang w:val="en-US"/>
              </w:rPr>
              <w:t>tdd-UL-DL-ConfigurationDedicated</w:t>
            </w:r>
            <w:r>
              <w:rPr>
                <w:lang w:val="en-US"/>
              </w:rPr>
              <w:t xml:space="preserve"> or corresponds to a PDCCH, PDSCH or CSI-RS reception that is configured by higher layers on the reference cell </w:t>
            </w:r>
          </w:p>
          <w:p>
            <w:pPr>
              <w:pStyle w:val="87"/>
              <w:spacing w:before="120" w:line="280" w:lineRule="atLeast"/>
              <w:rPr>
                <w:lang w:val="en-US"/>
              </w:rPr>
            </w:pPr>
            <w:r>
              <w:rPr>
                <w:lang w:val="en-US"/>
              </w:rPr>
              <w:t>-</w:t>
            </w:r>
            <w:r>
              <w:rPr>
                <w:lang w:val="en-US"/>
              </w:rPr>
              <w:tab/>
            </w:r>
            <w:r>
              <w:rPr>
                <w:lang w:val="en-US"/>
              </w:rPr>
              <w:t xml:space="preserve">does not receive a PDCCH, PDSCH or CSI-RS that is configured by higher layers on a set of symbols on another cell if at least one symbol from the set of symbols is indicated as uplink by </w:t>
            </w:r>
            <w:r>
              <w:rPr>
                <w:i/>
                <w:iCs/>
                <w:lang w:val="en-US"/>
              </w:rPr>
              <w:t>tdd-UL-DL-ConfigurationCommon</w:t>
            </w:r>
            <w:r>
              <w:rPr>
                <w:lang w:val="en-US"/>
              </w:rPr>
              <w:t xml:space="preserve"> or </w:t>
            </w:r>
            <w:r>
              <w:rPr>
                <w:i/>
                <w:iCs/>
                <w:lang w:val="en-US"/>
              </w:rPr>
              <w:t>tdd-UL-DL-ConfigurationDedicated</w:t>
            </w:r>
            <w:r>
              <w:rPr>
                <w:lang w:val="en-US"/>
              </w:rPr>
              <w:t xml:space="preserve"> or is a symbol corresponding to a</w:t>
            </w:r>
            <w:r>
              <w:rPr>
                <w:bCs/>
                <w:lang w:val="en-US"/>
              </w:rPr>
              <w:t xml:space="preserve"> </w:t>
            </w:r>
            <w:r>
              <w:rPr>
                <w:lang w:val="en-US"/>
              </w:rPr>
              <w:t>SRS, PUCCH, PUSCH, or PRACH transmission that is configured by higher layers on the reference cell</w:t>
            </w:r>
          </w:p>
          <w:p>
            <w:pPr>
              <w:pStyle w:val="87"/>
              <w:spacing w:before="120" w:line="280" w:lineRule="atLeast"/>
              <w:rPr>
                <w:lang w:val="en-US"/>
              </w:rPr>
            </w:pPr>
            <w:r>
              <w:rPr>
                <w:lang w:val="en-US"/>
              </w:rPr>
              <w:t>-</w:t>
            </w:r>
            <w:r>
              <w:rPr>
                <w:lang w:val="en-US"/>
              </w:rPr>
              <w:tab/>
            </w:r>
            <w:r>
              <w:rPr>
                <w:lang w:val="en-US"/>
              </w:rPr>
              <w:t xml:space="preserve">assumes a symbol indicated as downlink or uplink by </w:t>
            </w:r>
            <w:r>
              <w:rPr>
                <w:i/>
                <w:iCs/>
                <w:lang w:val="en-US"/>
              </w:rPr>
              <w:t>tdd-UL-DL-ConfigurationCommon</w:t>
            </w:r>
            <w:r>
              <w:rPr>
                <w:lang w:val="en-US"/>
              </w:rPr>
              <w:t xml:space="preserve"> or </w:t>
            </w:r>
            <w:r>
              <w:rPr>
                <w:i/>
                <w:iCs/>
                <w:lang w:val="en-US"/>
              </w:rPr>
              <w:t>tdd-UL-DL-ConfigurationDedicated</w:t>
            </w:r>
            <w:r>
              <w:rPr>
                <w:lang w:val="en-US"/>
              </w:rPr>
              <w:t xml:space="preserve"> on another cell to be flexible, if the UE is respectively configured by higher layers to transmit</w:t>
            </w:r>
            <w:r>
              <w:rPr>
                <w:bCs/>
                <w:lang w:val="en-US"/>
              </w:rPr>
              <w:t xml:space="preserve"> </w:t>
            </w:r>
            <w:r>
              <w:rPr>
                <w:lang w:val="en-US"/>
              </w:rPr>
              <w:t>SRS, PUCCH, PUSCH, or PRACH or to receive PDCCH, PDSCH, or CSI-RS on the reference cell</w:t>
            </w:r>
          </w:p>
          <w:p>
            <w:pPr>
              <w:pStyle w:val="87"/>
              <w:spacing w:before="120" w:line="280" w:lineRule="atLeast"/>
              <w:rPr>
                <w:lang w:val="en-US"/>
              </w:rPr>
            </w:pPr>
            <w:r>
              <w:t>-</w:t>
            </w:r>
            <w:r>
              <w:tab/>
            </w:r>
            <w:r>
              <w:t>does not expect to detect a first DCI format scheduling a transmission or reception on a symbol on a first cell and a second DCI format scheduling a reception or transmission on the symbol on a second cell, respectively</w:t>
            </w:r>
            <w:r>
              <w:rPr>
                <w:lang w:val="en-US"/>
              </w:rPr>
              <w:t>.</w:t>
            </w:r>
          </w:p>
          <w:p>
            <w:pPr>
              <w:pStyle w:val="126"/>
              <w:numPr>
                <w:ilvl w:val="0"/>
                <w:numId w:val="0"/>
              </w:numPr>
              <w:spacing w:before="120" w:line="280" w:lineRule="atLeast"/>
              <w:rPr>
                <w:rFonts w:hint="default" w:cs="Times New Roman"/>
                <w:sz w:val="20"/>
                <w:szCs w:val="15"/>
                <w:highlight w:val="none"/>
                <w:vertAlign w:val="baseline"/>
                <w:lang w:val="en-US" w:eastAsia="zh-CN"/>
              </w:rPr>
            </w:pPr>
          </w:p>
        </w:tc>
      </w:tr>
    </w:tbl>
    <w:p>
      <w:pPr>
        <w:pStyle w:val="126"/>
        <w:numPr>
          <w:ilvl w:val="0"/>
          <w:numId w:val="0"/>
        </w:numPr>
        <w:ind w:leftChars="0"/>
        <w:rPr>
          <w:rFonts w:hint="default" w:ascii="Times New Roman" w:hAnsi="Times New Roman" w:cs="Times New Roman"/>
          <w:sz w:val="20"/>
          <w:szCs w:val="15"/>
          <w:highlight w:val="none"/>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modern"/>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7E30D95"/>
    <w:multiLevelType w:val="multilevel"/>
    <w:tmpl w:val="17E30D95"/>
    <w:lvl w:ilvl="0" w:tentative="0">
      <w:start w:val="0"/>
      <w:numFmt w:val="bullet"/>
      <w:lvlText w:val=""/>
      <w:lvlJc w:val="left"/>
      <w:pPr>
        <w:ind w:left="840" w:hanging="420"/>
      </w:pPr>
      <w:rPr>
        <w:rFonts w:hint="default" w:ascii="Wingdings" w:hAnsi="Wingdings" w:eastAsia="Batang" w:cs="Times New Roman"/>
      </w:rPr>
    </w:lvl>
    <w:lvl w:ilvl="1" w:tentative="0">
      <w:start w:val="0"/>
      <w:numFmt w:val="bullet"/>
      <w:lvlText w:val=""/>
      <w:lvlJc w:val="left"/>
      <w:pPr>
        <w:ind w:left="1260" w:hanging="420"/>
      </w:pPr>
      <w:rPr>
        <w:rFonts w:hint="default" w:ascii="Wingdings" w:hAnsi="Wingdings" w:eastAsia="Batang"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0487B4A"/>
    <w:multiLevelType w:val="multilevel"/>
    <w:tmpl w:val="30487B4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30C4040A"/>
    <w:multiLevelType w:val="multilevel"/>
    <w:tmpl w:val="30C4040A"/>
    <w:lvl w:ilvl="0" w:tentative="0">
      <w:start w:val="1"/>
      <w:numFmt w:val="bullet"/>
      <w:lvlText w:val=""/>
      <w:lvlJc w:val="left"/>
      <w:pPr>
        <w:ind w:left="455" w:hanging="420"/>
      </w:pPr>
      <w:rPr>
        <w:rFonts w:hint="default" w:ascii="Symbol" w:hAnsi="Symbol"/>
      </w:rPr>
    </w:lvl>
    <w:lvl w:ilvl="1" w:tentative="0">
      <w:start w:val="0"/>
      <w:numFmt w:val="bullet"/>
      <w:lvlText w:val="-"/>
      <w:lvlJc w:val="left"/>
      <w:pPr>
        <w:ind w:left="875" w:hanging="420"/>
      </w:pPr>
      <w:rPr>
        <w:rFonts w:hint="default" w:ascii="Times" w:hAnsi="Times" w:eastAsia="바탕" w:cs="Times"/>
      </w:rPr>
    </w:lvl>
    <w:lvl w:ilvl="2" w:tentative="0">
      <w:start w:val="1"/>
      <w:numFmt w:val="bullet"/>
      <w:lvlText w:val=""/>
      <w:lvlJc w:val="left"/>
      <w:pPr>
        <w:ind w:left="1295" w:hanging="420"/>
      </w:pPr>
      <w:rPr>
        <w:rFonts w:hint="default" w:ascii="Wingdings" w:hAnsi="Wingdings"/>
      </w:rPr>
    </w:lvl>
    <w:lvl w:ilvl="3" w:tentative="0">
      <w:start w:val="1"/>
      <w:numFmt w:val="bullet"/>
      <w:lvlText w:val=""/>
      <w:lvlJc w:val="left"/>
      <w:pPr>
        <w:ind w:left="1715" w:hanging="420"/>
      </w:pPr>
      <w:rPr>
        <w:rFonts w:hint="default" w:ascii="Wingdings" w:hAnsi="Wingdings"/>
      </w:rPr>
    </w:lvl>
    <w:lvl w:ilvl="4" w:tentative="0">
      <w:start w:val="1"/>
      <w:numFmt w:val="bullet"/>
      <w:lvlText w:val=""/>
      <w:lvlJc w:val="left"/>
      <w:pPr>
        <w:ind w:left="2135" w:hanging="420"/>
      </w:pPr>
      <w:rPr>
        <w:rFonts w:hint="default" w:ascii="Wingdings" w:hAnsi="Wingdings"/>
      </w:rPr>
    </w:lvl>
    <w:lvl w:ilvl="5" w:tentative="0">
      <w:start w:val="1"/>
      <w:numFmt w:val="bullet"/>
      <w:lvlText w:val=""/>
      <w:lvlJc w:val="left"/>
      <w:pPr>
        <w:ind w:left="2555" w:hanging="420"/>
      </w:pPr>
      <w:rPr>
        <w:rFonts w:hint="default" w:ascii="Wingdings" w:hAnsi="Wingdings"/>
      </w:rPr>
    </w:lvl>
    <w:lvl w:ilvl="6" w:tentative="0">
      <w:start w:val="1"/>
      <w:numFmt w:val="bullet"/>
      <w:lvlText w:val=""/>
      <w:lvlJc w:val="left"/>
      <w:pPr>
        <w:ind w:left="2975" w:hanging="420"/>
      </w:pPr>
      <w:rPr>
        <w:rFonts w:hint="default" w:ascii="Wingdings" w:hAnsi="Wingdings"/>
      </w:rPr>
    </w:lvl>
    <w:lvl w:ilvl="7" w:tentative="0">
      <w:start w:val="1"/>
      <w:numFmt w:val="bullet"/>
      <w:lvlText w:val=""/>
      <w:lvlJc w:val="left"/>
      <w:pPr>
        <w:ind w:left="3395" w:hanging="420"/>
      </w:pPr>
      <w:rPr>
        <w:rFonts w:hint="default" w:ascii="Wingdings" w:hAnsi="Wingdings"/>
      </w:rPr>
    </w:lvl>
    <w:lvl w:ilvl="8" w:tentative="0">
      <w:start w:val="1"/>
      <w:numFmt w:val="bullet"/>
      <w:lvlText w:val=""/>
      <w:lvlJc w:val="left"/>
      <w:pPr>
        <w:ind w:left="3815" w:hanging="420"/>
      </w:pPr>
      <w:rPr>
        <w:rFonts w:hint="default" w:ascii="Wingdings" w:hAnsi="Wingdings"/>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5226F01"/>
    <w:multiLevelType w:val="multilevel"/>
    <w:tmpl w:val="45226F01"/>
    <w:lvl w:ilvl="0" w:tentative="0">
      <w:start w:val="1"/>
      <w:numFmt w:val="bullet"/>
      <w:lvlText w:val=""/>
      <w:lvlJc w:val="left"/>
      <w:pPr>
        <w:ind w:left="420" w:hanging="420"/>
      </w:pPr>
      <w:rPr>
        <w:rFonts w:hint="default" w:ascii="Symbol" w:hAnsi="Symbol"/>
      </w:rPr>
    </w:lvl>
    <w:lvl w:ilvl="1" w:tentative="0">
      <w:start w:val="0"/>
      <w:numFmt w:val="bullet"/>
      <w:lvlText w:val="-"/>
      <w:lvlJc w:val="left"/>
      <w:pPr>
        <w:ind w:left="840" w:hanging="420"/>
      </w:pPr>
      <w:rPr>
        <w:rFonts w:hint="default" w:ascii="Times" w:hAnsi="Times" w:eastAsia="바탕"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9E18BB7"/>
    <w:multiLevelType w:val="singleLevel"/>
    <w:tmpl w:val="49E18BB7"/>
    <w:lvl w:ilvl="0" w:tentative="0">
      <w:start w:val="1"/>
      <w:numFmt w:val="bullet"/>
      <w:lvlText w:val=""/>
      <w:lvlJc w:val="left"/>
      <w:pPr>
        <w:ind w:left="420" w:leftChars="0" w:hanging="420" w:firstLineChars="0"/>
      </w:pPr>
      <w:rPr>
        <w:rFonts w:hint="default" w:ascii="Wingdings" w:hAnsi="Wingdings"/>
        <w:sz w:val="11"/>
      </w:rPr>
    </w:lvl>
  </w:abstractNum>
  <w:abstractNum w:abstractNumId="9">
    <w:nsid w:val="581D0775"/>
    <w:multiLevelType w:val="multilevel"/>
    <w:tmpl w:val="581D0775"/>
    <w:lvl w:ilvl="0" w:tentative="0">
      <w:start w:val="1"/>
      <w:numFmt w:val="bullet"/>
      <w:lvlText w:val=""/>
      <w:lvlJc w:val="left"/>
      <w:pPr>
        <w:ind w:left="455" w:hanging="420"/>
      </w:pPr>
      <w:rPr>
        <w:rFonts w:hint="default" w:ascii="Symbol" w:hAnsi="Symbol"/>
      </w:rPr>
    </w:lvl>
    <w:lvl w:ilvl="1" w:tentative="0">
      <w:start w:val="1"/>
      <w:numFmt w:val="bullet"/>
      <w:lvlText w:val=""/>
      <w:lvlJc w:val="left"/>
      <w:pPr>
        <w:ind w:left="875" w:hanging="420"/>
      </w:pPr>
      <w:rPr>
        <w:rFonts w:hint="default" w:ascii="Wingdings" w:hAnsi="Wingdings"/>
      </w:rPr>
    </w:lvl>
    <w:lvl w:ilvl="2" w:tentative="0">
      <w:start w:val="1"/>
      <w:numFmt w:val="bullet"/>
      <w:lvlText w:val=""/>
      <w:lvlJc w:val="left"/>
      <w:pPr>
        <w:ind w:left="1295" w:hanging="420"/>
      </w:pPr>
      <w:rPr>
        <w:rFonts w:hint="default" w:ascii="Wingdings" w:hAnsi="Wingdings"/>
      </w:rPr>
    </w:lvl>
    <w:lvl w:ilvl="3" w:tentative="0">
      <w:start w:val="1"/>
      <w:numFmt w:val="bullet"/>
      <w:lvlText w:val=""/>
      <w:lvlJc w:val="left"/>
      <w:pPr>
        <w:ind w:left="1715" w:hanging="420"/>
      </w:pPr>
      <w:rPr>
        <w:rFonts w:hint="default" w:ascii="Wingdings" w:hAnsi="Wingdings"/>
      </w:rPr>
    </w:lvl>
    <w:lvl w:ilvl="4" w:tentative="0">
      <w:start w:val="1"/>
      <w:numFmt w:val="bullet"/>
      <w:lvlText w:val=""/>
      <w:lvlJc w:val="left"/>
      <w:pPr>
        <w:ind w:left="2135" w:hanging="420"/>
      </w:pPr>
      <w:rPr>
        <w:rFonts w:hint="default" w:ascii="Wingdings" w:hAnsi="Wingdings"/>
      </w:rPr>
    </w:lvl>
    <w:lvl w:ilvl="5" w:tentative="0">
      <w:start w:val="1"/>
      <w:numFmt w:val="bullet"/>
      <w:lvlText w:val=""/>
      <w:lvlJc w:val="left"/>
      <w:pPr>
        <w:ind w:left="2555" w:hanging="420"/>
      </w:pPr>
      <w:rPr>
        <w:rFonts w:hint="default" w:ascii="Wingdings" w:hAnsi="Wingdings"/>
      </w:rPr>
    </w:lvl>
    <w:lvl w:ilvl="6" w:tentative="0">
      <w:start w:val="1"/>
      <w:numFmt w:val="bullet"/>
      <w:lvlText w:val=""/>
      <w:lvlJc w:val="left"/>
      <w:pPr>
        <w:ind w:left="2975" w:hanging="420"/>
      </w:pPr>
      <w:rPr>
        <w:rFonts w:hint="default" w:ascii="Wingdings" w:hAnsi="Wingdings"/>
      </w:rPr>
    </w:lvl>
    <w:lvl w:ilvl="7" w:tentative="0">
      <w:start w:val="1"/>
      <w:numFmt w:val="bullet"/>
      <w:lvlText w:val=""/>
      <w:lvlJc w:val="left"/>
      <w:pPr>
        <w:ind w:left="3395" w:hanging="420"/>
      </w:pPr>
      <w:rPr>
        <w:rFonts w:hint="default" w:ascii="Wingdings" w:hAnsi="Wingdings"/>
      </w:rPr>
    </w:lvl>
    <w:lvl w:ilvl="8" w:tentative="0">
      <w:start w:val="1"/>
      <w:numFmt w:val="bullet"/>
      <w:lvlText w:val=""/>
      <w:lvlJc w:val="left"/>
      <w:pPr>
        <w:ind w:left="3815" w:hanging="420"/>
      </w:pPr>
      <w:rPr>
        <w:rFonts w:hint="default" w:ascii="Wingdings" w:hAnsi="Wingdings"/>
      </w:rPr>
    </w:lvl>
  </w:abstractNum>
  <w:abstractNum w:abstractNumId="10">
    <w:nsid w:val="5D3A46A1"/>
    <w:multiLevelType w:val="multilevel"/>
    <w:tmpl w:val="5D3A46A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29F0CFC"/>
    <w:multiLevelType w:val="multilevel"/>
    <w:tmpl w:val="729F0C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2"/>
  </w:num>
  <w:num w:numId="4">
    <w:abstractNumId w:val="6"/>
  </w:num>
  <w:num w:numId="5">
    <w:abstractNumId w:val="15"/>
  </w:num>
  <w:num w:numId="6">
    <w:abstractNumId w:val="11"/>
  </w:num>
  <w:num w:numId="7">
    <w:abstractNumId w:val="5"/>
  </w:num>
  <w:num w:numId="8">
    <w:abstractNumId w:val="14"/>
  </w:num>
  <w:num w:numId="9">
    <w:abstractNumId w:val="13"/>
  </w:num>
  <w:num w:numId="10">
    <w:abstractNumId w:val="3"/>
  </w:num>
  <w:num w:numId="11">
    <w:abstractNumId w:val="9"/>
  </w:num>
  <w:num w:numId="12">
    <w:abstractNumId w:val="4"/>
  </w:num>
  <w:num w:numId="13">
    <w:abstractNumId w:val="10"/>
  </w:num>
  <w:num w:numId="14">
    <w:abstractNumId w:val="7"/>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6D0F"/>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B3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63F"/>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5BD"/>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210"/>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FFF"/>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471F35"/>
    <w:rsid w:val="01607C8B"/>
    <w:rsid w:val="016402CE"/>
    <w:rsid w:val="01AE7858"/>
    <w:rsid w:val="01DA424A"/>
    <w:rsid w:val="01DC049B"/>
    <w:rsid w:val="01EB3A92"/>
    <w:rsid w:val="01F73B04"/>
    <w:rsid w:val="02173F14"/>
    <w:rsid w:val="02410850"/>
    <w:rsid w:val="024C00B0"/>
    <w:rsid w:val="024F2CA8"/>
    <w:rsid w:val="02737E73"/>
    <w:rsid w:val="02811D65"/>
    <w:rsid w:val="0284643E"/>
    <w:rsid w:val="02895B82"/>
    <w:rsid w:val="02E51F96"/>
    <w:rsid w:val="03023110"/>
    <w:rsid w:val="03463CD4"/>
    <w:rsid w:val="034F204D"/>
    <w:rsid w:val="03532C3F"/>
    <w:rsid w:val="035F79EB"/>
    <w:rsid w:val="036A2B26"/>
    <w:rsid w:val="039B3A36"/>
    <w:rsid w:val="03B25C4C"/>
    <w:rsid w:val="03D12146"/>
    <w:rsid w:val="03D24EAD"/>
    <w:rsid w:val="03D338BE"/>
    <w:rsid w:val="03E15D7A"/>
    <w:rsid w:val="03F94E83"/>
    <w:rsid w:val="03FC4856"/>
    <w:rsid w:val="04114E5A"/>
    <w:rsid w:val="04122D0D"/>
    <w:rsid w:val="041C778B"/>
    <w:rsid w:val="042E19C3"/>
    <w:rsid w:val="04383012"/>
    <w:rsid w:val="0439660E"/>
    <w:rsid w:val="043C001A"/>
    <w:rsid w:val="0440594B"/>
    <w:rsid w:val="0475347C"/>
    <w:rsid w:val="047D22C4"/>
    <w:rsid w:val="047E59D0"/>
    <w:rsid w:val="048B7799"/>
    <w:rsid w:val="048F11FF"/>
    <w:rsid w:val="04B72387"/>
    <w:rsid w:val="04EC3622"/>
    <w:rsid w:val="04F635B8"/>
    <w:rsid w:val="050215A7"/>
    <w:rsid w:val="050D4324"/>
    <w:rsid w:val="05391EB4"/>
    <w:rsid w:val="055479BD"/>
    <w:rsid w:val="056F56E9"/>
    <w:rsid w:val="05915A68"/>
    <w:rsid w:val="05931726"/>
    <w:rsid w:val="05BC6C79"/>
    <w:rsid w:val="05CC5ED3"/>
    <w:rsid w:val="05D44EEE"/>
    <w:rsid w:val="06045E70"/>
    <w:rsid w:val="060A4922"/>
    <w:rsid w:val="062103E2"/>
    <w:rsid w:val="06360315"/>
    <w:rsid w:val="063E2C70"/>
    <w:rsid w:val="06607FD5"/>
    <w:rsid w:val="066440E2"/>
    <w:rsid w:val="067D4C1C"/>
    <w:rsid w:val="06A31FF1"/>
    <w:rsid w:val="06B127E5"/>
    <w:rsid w:val="06DE7E90"/>
    <w:rsid w:val="0705530E"/>
    <w:rsid w:val="07067712"/>
    <w:rsid w:val="070E2577"/>
    <w:rsid w:val="072F2729"/>
    <w:rsid w:val="07583530"/>
    <w:rsid w:val="07722C34"/>
    <w:rsid w:val="07737C8E"/>
    <w:rsid w:val="077E7782"/>
    <w:rsid w:val="078F6F15"/>
    <w:rsid w:val="07A539D8"/>
    <w:rsid w:val="07B35775"/>
    <w:rsid w:val="07C21FA9"/>
    <w:rsid w:val="07C616E6"/>
    <w:rsid w:val="07D06D7A"/>
    <w:rsid w:val="07DD5AB3"/>
    <w:rsid w:val="08343DCA"/>
    <w:rsid w:val="08476CF8"/>
    <w:rsid w:val="08507937"/>
    <w:rsid w:val="08891F5A"/>
    <w:rsid w:val="088D57DF"/>
    <w:rsid w:val="08A375DF"/>
    <w:rsid w:val="08A871B9"/>
    <w:rsid w:val="08AA21D1"/>
    <w:rsid w:val="08B56CD7"/>
    <w:rsid w:val="09086765"/>
    <w:rsid w:val="092A0C39"/>
    <w:rsid w:val="0957797D"/>
    <w:rsid w:val="095D180B"/>
    <w:rsid w:val="096B6A5A"/>
    <w:rsid w:val="0972706B"/>
    <w:rsid w:val="09860267"/>
    <w:rsid w:val="098678CD"/>
    <w:rsid w:val="098921DE"/>
    <w:rsid w:val="099E3E66"/>
    <w:rsid w:val="09A342F4"/>
    <w:rsid w:val="09AB1E78"/>
    <w:rsid w:val="09AD64EB"/>
    <w:rsid w:val="09BC5F60"/>
    <w:rsid w:val="09C21BB6"/>
    <w:rsid w:val="09CC6BF4"/>
    <w:rsid w:val="09D462E7"/>
    <w:rsid w:val="09E21B0C"/>
    <w:rsid w:val="0A046E11"/>
    <w:rsid w:val="0A0544FB"/>
    <w:rsid w:val="0A2E7A9A"/>
    <w:rsid w:val="0A451F7B"/>
    <w:rsid w:val="0A4A6A77"/>
    <w:rsid w:val="0A740BC2"/>
    <w:rsid w:val="0AFC60B7"/>
    <w:rsid w:val="0B117292"/>
    <w:rsid w:val="0B1B297E"/>
    <w:rsid w:val="0B551FFC"/>
    <w:rsid w:val="0B6F6E61"/>
    <w:rsid w:val="0B9061EE"/>
    <w:rsid w:val="0B9914C6"/>
    <w:rsid w:val="0BAD56E4"/>
    <w:rsid w:val="0BAD7041"/>
    <w:rsid w:val="0BCD429E"/>
    <w:rsid w:val="0C1551CE"/>
    <w:rsid w:val="0C1B4F3E"/>
    <w:rsid w:val="0C56233F"/>
    <w:rsid w:val="0C6A3BD0"/>
    <w:rsid w:val="0C6C338C"/>
    <w:rsid w:val="0C6F5654"/>
    <w:rsid w:val="0CB77457"/>
    <w:rsid w:val="0CD0309F"/>
    <w:rsid w:val="0CE24B6C"/>
    <w:rsid w:val="0CE37C3D"/>
    <w:rsid w:val="0D132BA9"/>
    <w:rsid w:val="0D314175"/>
    <w:rsid w:val="0D424A57"/>
    <w:rsid w:val="0D660AC2"/>
    <w:rsid w:val="0D672BF6"/>
    <w:rsid w:val="0D801A6B"/>
    <w:rsid w:val="0DC10615"/>
    <w:rsid w:val="0DCE068D"/>
    <w:rsid w:val="0DD550FF"/>
    <w:rsid w:val="0DDC43A1"/>
    <w:rsid w:val="0DF70406"/>
    <w:rsid w:val="0E083C1B"/>
    <w:rsid w:val="0E120AD5"/>
    <w:rsid w:val="0E3754E8"/>
    <w:rsid w:val="0E78056E"/>
    <w:rsid w:val="0E85110B"/>
    <w:rsid w:val="0E864BB9"/>
    <w:rsid w:val="0E9043B2"/>
    <w:rsid w:val="0E933444"/>
    <w:rsid w:val="0E9A4B90"/>
    <w:rsid w:val="0EB06FFE"/>
    <w:rsid w:val="0ED41667"/>
    <w:rsid w:val="0EEC62CE"/>
    <w:rsid w:val="0EF57D78"/>
    <w:rsid w:val="0F0A50A1"/>
    <w:rsid w:val="0F101D9E"/>
    <w:rsid w:val="0F1D01AC"/>
    <w:rsid w:val="0F2A272E"/>
    <w:rsid w:val="0F2D52F9"/>
    <w:rsid w:val="0F902F1C"/>
    <w:rsid w:val="0F967AD2"/>
    <w:rsid w:val="0F973CB6"/>
    <w:rsid w:val="0FA73119"/>
    <w:rsid w:val="0FBB25B1"/>
    <w:rsid w:val="0FC166A9"/>
    <w:rsid w:val="0FCB1BEA"/>
    <w:rsid w:val="0FF60B52"/>
    <w:rsid w:val="101045A0"/>
    <w:rsid w:val="10150A41"/>
    <w:rsid w:val="101828E5"/>
    <w:rsid w:val="101B366C"/>
    <w:rsid w:val="10266D90"/>
    <w:rsid w:val="102D15F4"/>
    <w:rsid w:val="10486D20"/>
    <w:rsid w:val="10515256"/>
    <w:rsid w:val="10753E13"/>
    <w:rsid w:val="10930832"/>
    <w:rsid w:val="109A4A29"/>
    <w:rsid w:val="10BE60B3"/>
    <w:rsid w:val="10BF267E"/>
    <w:rsid w:val="10D80AE3"/>
    <w:rsid w:val="10E27855"/>
    <w:rsid w:val="10F35B1B"/>
    <w:rsid w:val="11087971"/>
    <w:rsid w:val="11307F28"/>
    <w:rsid w:val="11490773"/>
    <w:rsid w:val="114C53D8"/>
    <w:rsid w:val="11653C6F"/>
    <w:rsid w:val="117E25DB"/>
    <w:rsid w:val="11CB06D4"/>
    <w:rsid w:val="11CE05B3"/>
    <w:rsid w:val="11E17B20"/>
    <w:rsid w:val="120C29C9"/>
    <w:rsid w:val="12220211"/>
    <w:rsid w:val="12512862"/>
    <w:rsid w:val="1257267A"/>
    <w:rsid w:val="12764315"/>
    <w:rsid w:val="12A472D8"/>
    <w:rsid w:val="12B47087"/>
    <w:rsid w:val="12DE4561"/>
    <w:rsid w:val="12DF0D35"/>
    <w:rsid w:val="12DF0E86"/>
    <w:rsid w:val="12E075E3"/>
    <w:rsid w:val="12FE321B"/>
    <w:rsid w:val="130859B8"/>
    <w:rsid w:val="13391A73"/>
    <w:rsid w:val="135349F3"/>
    <w:rsid w:val="137967CF"/>
    <w:rsid w:val="1380021A"/>
    <w:rsid w:val="13874039"/>
    <w:rsid w:val="13B33BDF"/>
    <w:rsid w:val="13CE0DD9"/>
    <w:rsid w:val="13ED5606"/>
    <w:rsid w:val="13F00E4C"/>
    <w:rsid w:val="14054947"/>
    <w:rsid w:val="141407A1"/>
    <w:rsid w:val="141F2191"/>
    <w:rsid w:val="143210D4"/>
    <w:rsid w:val="14370731"/>
    <w:rsid w:val="14380455"/>
    <w:rsid w:val="14497722"/>
    <w:rsid w:val="14970691"/>
    <w:rsid w:val="149F3549"/>
    <w:rsid w:val="14B1350E"/>
    <w:rsid w:val="14E95509"/>
    <w:rsid w:val="150E4807"/>
    <w:rsid w:val="1526362A"/>
    <w:rsid w:val="152749EE"/>
    <w:rsid w:val="15587ADA"/>
    <w:rsid w:val="155E0D3C"/>
    <w:rsid w:val="1575AEB2"/>
    <w:rsid w:val="1579497C"/>
    <w:rsid w:val="15800900"/>
    <w:rsid w:val="15824EE1"/>
    <w:rsid w:val="15AB7EDB"/>
    <w:rsid w:val="15CC20E6"/>
    <w:rsid w:val="15EE136C"/>
    <w:rsid w:val="16175573"/>
    <w:rsid w:val="162C0344"/>
    <w:rsid w:val="162E3333"/>
    <w:rsid w:val="164F7F6D"/>
    <w:rsid w:val="165958F8"/>
    <w:rsid w:val="165D61C4"/>
    <w:rsid w:val="165E068A"/>
    <w:rsid w:val="16A5274F"/>
    <w:rsid w:val="16B572E7"/>
    <w:rsid w:val="16BD5BED"/>
    <w:rsid w:val="16ED1A10"/>
    <w:rsid w:val="16F003E9"/>
    <w:rsid w:val="1702D3F2"/>
    <w:rsid w:val="17214315"/>
    <w:rsid w:val="173239F6"/>
    <w:rsid w:val="17507302"/>
    <w:rsid w:val="1784172F"/>
    <w:rsid w:val="179F308E"/>
    <w:rsid w:val="17A12727"/>
    <w:rsid w:val="17B076B8"/>
    <w:rsid w:val="17BF728A"/>
    <w:rsid w:val="17E52844"/>
    <w:rsid w:val="17E762AC"/>
    <w:rsid w:val="17EA33AD"/>
    <w:rsid w:val="180B054C"/>
    <w:rsid w:val="181B0B92"/>
    <w:rsid w:val="1853633D"/>
    <w:rsid w:val="18634992"/>
    <w:rsid w:val="188D2058"/>
    <w:rsid w:val="18BA7603"/>
    <w:rsid w:val="18C87524"/>
    <w:rsid w:val="18FD3F86"/>
    <w:rsid w:val="190769D0"/>
    <w:rsid w:val="192000D8"/>
    <w:rsid w:val="192B740B"/>
    <w:rsid w:val="19353D6E"/>
    <w:rsid w:val="1936699B"/>
    <w:rsid w:val="19481FB4"/>
    <w:rsid w:val="19537121"/>
    <w:rsid w:val="19654572"/>
    <w:rsid w:val="198A7522"/>
    <w:rsid w:val="198C5EB4"/>
    <w:rsid w:val="19A510B3"/>
    <w:rsid w:val="19C54F07"/>
    <w:rsid w:val="19CF5864"/>
    <w:rsid w:val="1A186FA8"/>
    <w:rsid w:val="1A1C5725"/>
    <w:rsid w:val="1A291762"/>
    <w:rsid w:val="1A2A1C07"/>
    <w:rsid w:val="1A514204"/>
    <w:rsid w:val="1A5D6DE9"/>
    <w:rsid w:val="1A68204D"/>
    <w:rsid w:val="1A6D18F8"/>
    <w:rsid w:val="1A8616E3"/>
    <w:rsid w:val="1ABC15A3"/>
    <w:rsid w:val="1AEB2825"/>
    <w:rsid w:val="1B2B7588"/>
    <w:rsid w:val="1B2E6DC7"/>
    <w:rsid w:val="1B39597A"/>
    <w:rsid w:val="1B4E3AF0"/>
    <w:rsid w:val="1B5316CE"/>
    <w:rsid w:val="1B5E59D2"/>
    <w:rsid w:val="1B9F7ADA"/>
    <w:rsid w:val="1BB93B11"/>
    <w:rsid w:val="1BDC2DFC"/>
    <w:rsid w:val="1BFE114F"/>
    <w:rsid w:val="1C2168C5"/>
    <w:rsid w:val="1C4F452B"/>
    <w:rsid w:val="1C5A0014"/>
    <w:rsid w:val="1C766428"/>
    <w:rsid w:val="1C921230"/>
    <w:rsid w:val="1CAC63B1"/>
    <w:rsid w:val="1CB626A2"/>
    <w:rsid w:val="1CC02EEB"/>
    <w:rsid w:val="1CF16956"/>
    <w:rsid w:val="1D2355A7"/>
    <w:rsid w:val="1D3029F8"/>
    <w:rsid w:val="1D465FAC"/>
    <w:rsid w:val="1D833CB2"/>
    <w:rsid w:val="1DB96AD4"/>
    <w:rsid w:val="1DBD0FBB"/>
    <w:rsid w:val="1DD50930"/>
    <w:rsid w:val="1DF407BB"/>
    <w:rsid w:val="1E0D68E0"/>
    <w:rsid w:val="1E1C064E"/>
    <w:rsid w:val="1E38003B"/>
    <w:rsid w:val="1E461814"/>
    <w:rsid w:val="1E4B1FDB"/>
    <w:rsid w:val="1E730A92"/>
    <w:rsid w:val="1E932E58"/>
    <w:rsid w:val="1E9E4202"/>
    <w:rsid w:val="1EA41854"/>
    <w:rsid w:val="1EB815C1"/>
    <w:rsid w:val="1EC12D57"/>
    <w:rsid w:val="1EF4032B"/>
    <w:rsid w:val="1EFA70F9"/>
    <w:rsid w:val="1F0A0BE5"/>
    <w:rsid w:val="1F325F59"/>
    <w:rsid w:val="1F391D93"/>
    <w:rsid w:val="1F723ECD"/>
    <w:rsid w:val="1F830483"/>
    <w:rsid w:val="1F850095"/>
    <w:rsid w:val="1FA54EFA"/>
    <w:rsid w:val="1FB91CD0"/>
    <w:rsid w:val="1FCC26B3"/>
    <w:rsid w:val="1FE96250"/>
    <w:rsid w:val="1FEB5923"/>
    <w:rsid w:val="1FF50B40"/>
    <w:rsid w:val="200C7014"/>
    <w:rsid w:val="2013006C"/>
    <w:rsid w:val="20275F86"/>
    <w:rsid w:val="20295AC3"/>
    <w:rsid w:val="20480AAE"/>
    <w:rsid w:val="20910CB1"/>
    <w:rsid w:val="209311FE"/>
    <w:rsid w:val="20AF1F54"/>
    <w:rsid w:val="20BA2550"/>
    <w:rsid w:val="20BF7F7B"/>
    <w:rsid w:val="20CD42FE"/>
    <w:rsid w:val="20E632BE"/>
    <w:rsid w:val="20E65374"/>
    <w:rsid w:val="20EE3AE8"/>
    <w:rsid w:val="21035A99"/>
    <w:rsid w:val="21072118"/>
    <w:rsid w:val="21282288"/>
    <w:rsid w:val="212E4107"/>
    <w:rsid w:val="214C5F1E"/>
    <w:rsid w:val="215A5C59"/>
    <w:rsid w:val="216F3182"/>
    <w:rsid w:val="217607AB"/>
    <w:rsid w:val="21B15D7D"/>
    <w:rsid w:val="21C22D5F"/>
    <w:rsid w:val="21FB6EBC"/>
    <w:rsid w:val="22074F28"/>
    <w:rsid w:val="22137B9E"/>
    <w:rsid w:val="2239304E"/>
    <w:rsid w:val="2256623F"/>
    <w:rsid w:val="227C2816"/>
    <w:rsid w:val="22C22FF5"/>
    <w:rsid w:val="22F03980"/>
    <w:rsid w:val="22FE2795"/>
    <w:rsid w:val="231E4B98"/>
    <w:rsid w:val="23237624"/>
    <w:rsid w:val="232D30A1"/>
    <w:rsid w:val="2349721F"/>
    <w:rsid w:val="2359400D"/>
    <w:rsid w:val="23680C07"/>
    <w:rsid w:val="236959BD"/>
    <w:rsid w:val="237D1F0D"/>
    <w:rsid w:val="238B15F3"/>
    <w:rsid w:val="239E142D"/>
    <w:rsid w:val="23B5716D"/>
    <w:rsid w:val="23BD1EF4"/>
    <w:rsid w:val="23D52E2D"/>
    <w:rsid w:val="23D61A36"/>
    <w:rsid w:val="23E630A6"/>
    <w:rsid w:val="240C16A9"/>
    <w:rsid w:val="24214778"/>
    <w:rsid w:val="24232430"/>
    <w:rsid w:val="24321146"/>
    <w:rsid w:val="245870DE"/>
    <w:rsid w:val="246A450B"/>
    <w:rsid w:val="247247A7"/>
    <w:rsid w:val="2473146A"/>
    <w:rsid w:val="24871A6A"/>
    <w:rsid w:val="24990B16"/>
    <w:rsid w:val="24CC5601"/>
    <w:rsid w:val="24D0128B"/>
    <w:rsid w:val="24D62D0F"/>
    <w:rsid w:val="251047CA"/>
    <w:rsid w:val="25246D24"/>
    <w:rsid w:val="254E16DB"/>
    <w:rsid w:val="2560279C"/>
    <w:rsid w:val="25B34CFB"/>
    <w:rsid w:val="25C41CF4"/>
    <w:rsid w:val="25C7121C"/>
    <w:rsid w:val="25D83271"/>
    <w:rsid w:val="25F56EFA"/>
    <w:rsid w:val="26017507"/>
    <w:rsid w:val="2606074B"/>
    <w:rsid w:val="2609208C"/>
    <w:rsid w:val="26152CC2"/>
    <w:rsid w:val="26166BCB"/>
    <w:rsid w:val="26230FC6"/>
    <w:rsid w:val="26251077"/>
    <w:rsid w:val="26276462"/>
    <w:rsid w:val="264414C1"/>
    <w:rsid w:val="264D17ED"/>
    <w:rsid w:val="26737914"/>
    <w:rsid w:val="267C010D"/>
    <w:rsid w:val="268C1B43"/>
    <w:rsid w:val="26A5003F"/>
    <w:rsid w:val="26CC7985"/>
    <w:rsid w:val="26E4462F"/>
    <w:rsid w:val="26EE7123"/>
    <w:rsid w:val="26F230BB"/>
    <w:rsid w:val="26F60EF2"/>
    <w:rsid w:val="27136A33"/>
    <w:rsid w:val="272C1CCE"/>
    <w:rsid w:val="27323917"/>
    <w:rsid w:val="274C6620"/>
    <w:rsid w:val="27864A32"/>
    <w:rsid w:val="27B07242"/>
    <w:rsid w:val="27BB6355"/>
    <w:rsid w:val="27BE5F71"/>
    <w:rsid w:val="27BE6F90"/>
    <w:rsid w:val="27C5366D"/>
    <w:rsid w:val="27DD67CA"/>
    <w:rsid w:val="27EC4DA8"/>
    <w:rsid w:val="27F17A50"/>
    <w:rsid w:val="281F31E0"/>
    <w:rsid w:val="281F6658"/>
    <w:rsid w:val="286536FE"/>
    <w:rsid w:val="28690808"/>
    <w:rsid w:val="286A3775"/>
    <w:rsid w:val="287F068B"/>
    <w:rsid w:val="28A22432"/>
    <w:rsid w:val="28B07E55"/>
    <w:rsid w:val="28B54AA2"/>
    <w:rsid w:val="28C77C30"/>
    <w:rsid w:val="28D52F59"/>
    <w:rsid w:val="290476C7"/>
    <w:rsid w:val="290D04CF"/>
    <w:rsid w:val="2940670D"/>
    <w:rsid w:val="294D3BE0"/>
    <w:rsid w:val="295A76BB"/>
    <w:rsid w:val="297F342E"/>
    <w:rsid w:val="2983177A"/>
    <w:rsid w:val="29987B64"/>
    <w:rsid w:val="29B43A0D"/>
    <w:rsid w:val="29BB1B80"/>
    <w:rsid w:val="29C26BED"/>
    <w:rsid w:val="29CD11DB"/>
    <w:rsid w:val="29E546BF"/>
    <w:rsid w:val="2A0C3CAC"/>
    <w:rsid w:val="2A0F0B23"/>
    <w:rsid w:val="2A46459D"/>
    <w:rsid w:val="2A5374BB"/>
    <w:rsid w:val="2A71440E"/>
    <w:rsid w:val="2A893D90"/>
    <w:rsid w:val="2A932738"/>
    <w:rsid w:val="2A9501DC"/>
    <w:rsid w:val="2A9A305C"/>
    <w:rsid w:val="2A9D552B"/>
    <w:rsid w:val="2AA64809"/>
    <w:rsid w:val="2AB23289"/>
    <w:rsid w:val="2AC03EF1"/>
    <w:rsid w:val="2ACB1712"/>
    <w:rsid w:val="2AD41998"/>
    <w:rsid w:val="2AFE2B7E"/>
    <w:rsid w:val="2B1A73FE"/>
    <w:rsid w:val="2B26248E"/>
    <w:rsid w:val="2B3F1C6E"/>
    <w:rsid w:val="2B4503D8"/>
    <w:rsid w:val="2B4640EA"/>
    <w:rsid w:val="2B527EC9"/>
    <w:rsid w:val="2B60335E"/>
    <w:rsid w:val="2B7E7490"/>
    <w:rsid w:val="2B84489D"/>
    <w:rsid w:val="2BA902E6"/>
    <w:rsid w:val="2BB25377"/>
    <w:rsid w:val="2BCF7A86"/>
    <w:rsid w:val="2BD065BD"/>
    <w:rsid w:val="2BDF29BF"/>
    <w:rsid w:val="2BE142ED"/>
    <w:rsid w:val="2C061356"/>
    <w:rsid w:val="2C2B2D6B"/>
    <w:rsid w:val="2C316207"/>
    <w:rsid w:val="2C3A46B1"/>
    <w:rsid w:val="2C401EAF"/>
    <w:rsid w:val="2C5D073D"/>
    <w:rsid w:val="2C7A33B3"/>
    <w:rsid w:val="2C876D50"/>
    <w:rsid w:val="2CB23183"/>
    <w:rsid w:val="2CCC5AD9"/>
    <w:rsid w:val="2CF04E98"/>
    <w:rsid w:val="2D376513"/>
    <w:rsid w:val="2D3F2C8E"/>
    <w:rsid w:val="2D470923"/>
    <w:rsid w:val="2D731E57"/>
    <w:rsid w:val="2DAB6695"/>
    <w:rsid w:val="2DC863F1"/>
    <w:rsid w:val="2DE03750"/>
    <w:rsid w:val="2DFB41DC"/>
    <w:rsid w:val="2E227B92"/>
    <w:rsid w:val="2E350033"/>
    <w:rsid w:val="2E363860"/>
    <w:rsid w:val="2E455807"/>
    <w:rsid w:val="2E5F4D48"/>
    <w:rsid w:val="2E6D6806"/>
    <w:rsid w:val="2E897C39"/>
    <w:rsid w:val="2E930D3B"/>
    <w:rsid w:val="2EB72406"/>
    <w:rsid w:val="2ECD2EFD"/>
    <w:rsid w:val="2EEE6577"/>
    <w:rsid w:val="2EEF2070"/>
    <w:rsid w:val="2F2367DE"/>
    <w:rsid w:val="2F372312"/>
    <w:rsid w:val="2F6D5166"/>
    <w:rsid w:val="2FD04F4B"/>
    <w:rsid w:val="2FD27D5B"/>
    <w:rsid w:val="2FD44A3E"/>
    <w:rsid w:val="2FDF41BB"/>
    <w:rsid w:val="2FF91044"/>
    <w:rsid w:val="30317F19"/>
    <w:rsid w:val="303624E4"/>
    <w:rsid w:val="305A6168"/>
    <w:rsid w:val="309C04C4"/>
    <w:rsid w:val="309C19C4"/>
    <w:rsid w:val="309E7FB4"/>
    <w:rsid w:val="30D05EA3"/>
    <w:rsid w:val="30F06A8A"/>
    <w:rsid w:val="30F33846"/>
    <w:rsid w:val="30FB19DC"/>
    <w:rsid w:val="3107240D"/>
    <w:rsid w:val="31542D3B"/>
    <w:rsid w:val="315E3DF0"/>
    <w:rsid w:val="3166748C"/>
    <w:rsid w:val="31900E67"/>
    <w:rsid w:val="31A75EF7"/>
    <w:rsid w:val="31D562D0"/>
    <w:rsid w:val="31E6761E"/>
    <w:rsid w:val="31F56A89"/>
    <w:rsid w:val="32000185"/>
    <w:rsid w:val="32303C08"/>
    <w:rsid w:val="323C537E"/>
    <w:rsid w:val="324568C8"/>
    <w:rsid w:val="324F2751"/>
    <w:rsid w:val="32832752"/>
    <w:rsid w:val="32B44F81"/>
    <w:rsid w:val="32D077E9"/>
    <w:rsid w:val="32EB6657"/>
    <w:rsid w:val="32EE55D7"/>
    <w:rsid w:val="32EF3930"/>
    <w:rsid w:val="32FE23BF"/>
    <w:rsid w:val="330E6893"/>
    <w:rsid w:val="330E70ED"/>
    <w:rsid w:val="331D5941"/>
    <w:rsid w:val="333C76B6"/>
    <w:rsid w:val="33411F0B"/>
    <w:rsid w:val="337C7B04"/>
    <w:rsid w:val="33DE0CB9"/>
    <w:rsid w:val="33EC1A91"/>
    <w:rsid w:val="342C30E5"/>
    <w:rsid w:val="344F7A97"/>
    <w:rsid w:val="34586101"/>
    <w:rsid w:val="345933D6"/>
    <w:rsid w:val="34680CAF"/>
    <w:rsid w:val="347744AE"/>
    <w:rsid w:val="34911249"/>
    <w:rsid w:val="34AB7E73"/>
    <w:rsid w:val="34B31DC8"/>
    <w:rsid w:val="34B3299D"/>
    <w:rsid w:val="34CC2CE0"/>
    <w:rsid w:val="34D84435"/>
    <w:rsid w:val="34DE5929"/>
    <w:rsid w:val="34FB2046"/>
    <w:rsid w:val="3511129D"/>
    <w:rsid w:val="35391E2A"/>
    <w:rsid w:val="353B40A2"/>
    <w:rsid w:val="35742CCA"/>
    <w:rsid w:val="35911F22"/>
    <w:rsid w:val="359455FE"/>
    <w:rsid w:val="35DB58B9"/>
    <w:rsid w:val="35E37771"/>
    <w:rsid w:val="35EC45CE"/>
    <w:rsid w:val="35EF263E"/>
    <w:rsid w:val="36091FD3"/>
    <w:rsid w:val="36121FB4"/>
    <w:rsid w:val="362F05DB"/>
    <w:rsid w:val="3631196E"/>
    <w:rsid w:val="36440605"/>
    <w:rsid w:val="36B43102"/>
    <w:rsid w:val="36CD07B0"/>
    <w:rsid w:val="36FD3A9A"/>
    <w:rsid w:val="37097448"/>
    <w:rsid w:val="372201DB"/>
    <w:rsid w:val="372D3302"/>
    <w:rsid w:val="373242C4"/>
    <w:rsid w:val="37340EF6"/>
    <w:rsid w:val="373E20CB"/>
    <w:rsid w:val="374B56B5"/>
    <w:rsid w:val="375645F9"/>
    <w:rsid w:val="375C57D7"/>
    <w:rsid w:val="37701797"/>
    <w:rsid w:val="379A1CFE"/>
    <w:rsid w:val="379B7EC1"/>
    <w:rsid w:val="37C14F06"/>
    <w:rsid w:val="37DD651E"/>
    <w:rsid w:val="380A0715"/>
    <w:rsid w:val="380A19E7"/>
    <w:rsid w:val="381A51F4"/>
    <w:rsid w:val="382C45BC"/>
    <w:rsid w:val="38387071"/>
    <w:rsid w:val="386C5C36"/>
    <w:rsid w:val="388547C7"/>
    <w:rsid w:val="38BA113F"/>
    <w:rsid w:val="38D45D54"/>
    <w:rsid w:val="38D84608"/>
    <w:rsid w:val="38D93501"/>
    <w:rsid w:val="38DB15FF"/>
    <w:rsid w:val="392D5819"/>
    <w:rsid w:val="39330DE9"/>
    <w:rsid w:val="39362F4F"/>
    <w:rsid w:val="393B5ACE"/>
    <w:rsid w:val="39513E5B"/>
    <w:rsid w:val="397347DF"/>
    <w:rsid w:val="39963EB1"/>
    <w:rsid w:val="39BB105A"/>
    <w:rsid w:val="39ED0B9E"/>
    <w:rsid w:val="3A135075"/>
    <w:rsid w:val="3A1A3B64"/>
    <w:rsid w:val="3A2C6E8D"/>
    <w:rsid w:val="3A4F4FE5"/>
    <w:rsid w:val="3A6D4CBA"/>
    <w:rsid w:val="3A820EDC"/>
    <w:rsid w:val="3A8424B5"/>
    <w:rsid w:val="3A9A43F1"/>
    <w:rsid w:val="3AA12DFF"/>
    <w:rsid w:val="3AB31D0C"/>
    <w:rsid w:val="3AE05FFE"/>
    <w:rsid w:val="3B017659"/>
    <w:rsid w:val="3B0A074B"/>
    <w:rsid w:val="3B0E5515"/>
    <w:rsid w:val="3B21410A"/>
    <w:rsid w:val="3B380971"/>
    <w:rsid w:val="3B3E48C1"/>
    <w:rsid w:val="3B412A6C"/>
    <w:rsid w:val="3B4A3B53"/>
    <w:rsid w:val="3B56494D"/>
    <w:rsid w:val="3B617786"/>
    <w:rsid w:val="3B8D2B5D"/>
    <w:rsid w:val="3BD034C7"/>
    <w:rsid w:val="3BD75757"/>
    <w:rsid w:val="3BDA3DBC"/>
    <w:rsid w:val="3BDE4903"/>
    <w:rsid w:val="3BE64441"/>
    <w:rsid w:val="3C2D3B81"/>
    <w:rsid w:val="3C3E1E4E"/>
    <w:rsid w:val="3C923082"/>
    <w:rsid w:val="3C9C6A9E"/>
    <w:rsid w:val="3CA13237"/>
    <w:rsid w:val="3CF61444"/>
    <w:rsid w:val="3D0354C7"/>
    <w:rsid w:val="3D362196"/>
    <w:rsid w:val="3D6D132D"/>
    <w:rsid w:val="3D7359C7"/>
    <w:rsid w:val="3D76113B"/>
    <w:rsid w:val="3D7642C9"/>
    <w:rsid w:val="3D86380E"/>
    <w:rsid w:val="3DA303E4"/>
    <w:rsid w:val="3DC236A2"/>
    <w:rsid w:val="3DDA6D42"/>
    <w:rsid w:val="3DDD5D4B"/>
    <w:rsid w:val="3DE45A78"/>
    <w:rsid w:val="3DED4A5A"/>
    <w:rsid w:val="3DFA6BAD"/>
    <w:rsid w:val="3DFF13D1"/>
    <w:rsid w:val="3E055E2F"/>
    <w:rsid w:val="3E3A7708"/>
    <w:rsid w:val="3E3C7E6C"/>
    <w:rsid w:val="3E3E1972"/>
    <w:rsid w:val="3E450AB7"/>
    <w:rsid w:val="3E515066"/>
    <w:rsid w:val="3E644A3A"/>
    <w:rsid w:val="3E7347F4"/>
    <w:rsid w:val="3E746699"/>
    <w:rsid w:val="3E892D26"/>
    <w:rsid w:val="3E960952"/>
    <w:rsid w:val="3EC87E05"/>
    <w:rsid w:val="3ED138E3"/>
    <w:rsid w:val="3EDA174D"/>
    <w:rsid w:val="3EE04EC0"/>
    <w:rsid w:val="3EF83C43"/>
    <w:rsid w:val="3F01664D"/>
    <w:rsid w:val="3F03359F"/>
    <w:rsid w:val="3F175FC8"/>
    <w:rsid w:val="3F5F0715"/>
    <w:rsid w:val="3F6A609B"/>
    <w:rsid w:val="3F745236"/>
    <w:rsid w:val="3FB86BD0"/>
    <w:rsid w:val="3FC949FF"/>
    <w:rsid w:val="3FD010A5"/>
    <w:rsid w:val="3FD26C28"/>
    <w:rsid w:val="40111759"/>
    <w:rsid w:val="40161B0F"/>
    <w:rsid w:val="401F4606"/>
    <w:rsid w:val="402327C5"/>
    <w:rsid w:val="40274F4D"/>
    <w:rsid w:val="402A6296"/>
    <w:rsid w:val="40727205"/>
    <w:rsid w:val="407868C4"/>
    <w:rsid w:val="40850DCD"/>
    <w:rsid w:val="40C410B6"/>
    <w:rsid w:val="40E40A1C"/>
    <w:rsid w:val="40EA2CC2"/>
    <w:rsid w:val="40F209A0"/>
    <w:rsid w:val="41391933"/>
    <w:rsid w:val="414E07CB"/>
    <w:rsid w:val="41537C84"/>
    <w:rsid w:val="41564358"/>
    <w:rsid w:val="419532ED"/>
    <w:rsid w:val="419E3EA4"/>
    <w:rsid w:val="41AC1D9C"/>
    <w:rsid w:val="41BC3617"/>
    <w:rsid w:val="41C55E06"/>
    <w:rsid w:val="41D25BAE"/>
    <w:rsid w:val="420005E4"/>
    <w:rsid w:val="420B7B61"/>
    <w:rsid w:val="423C0F4F"/>
    <w:rsid w:val="4242619A"/>
    <w:rsid w:val="424F6EDD"/>
    <w:rsid w:val="42B20782"/>
    <w:rsid w:val="42D67D8E"/>
    <w:rsid w:val="42DF035B"/>
    <w:rsid w:val="42EE3CDC"/>
    <w:rsid w:val="43011D24"/>
    <w:rsid w:val="430A6BB3"/>
    <w:rsid w:val="431516B3"/>
    <w:rsid w:val="431E50E3"/>
    <w:rsid w:val="432B658C"/>
    <w:rsid w:val="438C5E5E"/>
    <w:rsid w:val="439E2099"/>
    <w:rsid w:val="43BE00B3"/>
    <w:rsid w:val="44057395"/>
    <w:rsid w:val="44223DB6"/>
    <w:rsid w:val="44344003"/>
    <w:rsid w:val="44347421"/>
    <w:rsid w:val="443825EE"/>
    <w:rsid w:val="4441481D"/>
    <w:rsid w:val="444E5581"/>
    <w:rsid w:val="445D6487"/>
    <w:rsid w:val="44712D89"/>
    <w:rsid w:val="447177A7"/>
    <w:rsid w:val="44917C93"/>
    <w:rsid w:val="449B46B0"/>
    <w:rsid w:val="44A406E9"/>
    <w:rsid w:val="44AC3FAC"/>
    <w:rsid w:val="44E00FDB"/>
    <w:rsid w:val="453E7FB5"/>
    <w:rsid w:val="45BF4853"/>
    <w:rsid w:val="45DF3356"/>
    <w:rsid w:val="45F63C43"/>
    <w:rsid w:val="4601089B"/>
    <w:rsid w:val="46136785"/>
    <w:rsid w:val="461B6845"/>
    <w:rsid w:val="462E578F"/>
    <w:rsid w:val="46487CC3"/>
    <w:rsid w:val="4656244F"/>
    <w:rsid w:val="46894A53"/>
    <w:rsid w:val="4692224A"/>
    <w:rsid w:val="46BA6F2D"/>
    <w:rsid w:val="46CB7B53"/>
    <w:rsid w:val="46D41E44"/>
    <w:rsid w:val="46DA713A"/>
    <w:rsid w:val="46E652CC"/>
    <w:rsid w:val="46FB2A2A"/>
    <w:rsid w:val="47085898"/>
    <w:rsid w:val="47270C30"/>
    <w:rsid w:val="472D41FA"/>
    <w:rsid w:val="47890462"/>
    <w:rsid w:val="479A09A1"/>
    <w:rsid w:val="47A4543B"/>
    <w:rsid w:val="47AE2F53"/>
    <w:rsid w:val="47E16522"/>
    <w:rsid w:val="48015E9F"/>
    <w:rsid w:val="48162762"/>
    <w:rsid w:val="48202D76"/>
    <w:rsid w:val="484D54CC"/>
    <w:rsid w:val="485F2BAA"/>
    <w:rsid w:val="488A4398"/>
    <w:rsid w:val="48BF3DD1"/>
    <w:rsid w:val="49216A6A"/>
    <w:rsid w:val="49362531"/>
    <w:rsid w:val="49502142"/>
    <w:rsid w:val="4960515D"/>
    <w:rsid w:val="496938E0"/>
    <w:rsid w:val="496B37C1"/>
    <w:rsid w:val="4976327C"/>
    <w:rsid w:val="49882B35"/>
    <w:rsid w:val="4990513E"/>
    <w:rsid w:val="49C44B33"/>
    <w:rsid w:val="49CA62A1"/>
    <w:rsid w:val="49DA4685"/>
    <w:rsid w:val="49DC6539"/>
    <w:rsid w:val="4A374E43"/>
    <w:rsid w:val="4A7C2A22"/>
    <w:rsid w:val="4A8F59D7"/>
    <w:rsid w:val="4AB6739D"/>
    <w:rsid w:val="4AC165CE"/>
    <w:rsid w:val="4AFE0DE7"/>
    <w:rsid w:val="4B0C2A59"/>
    <w:rsid w:val="4B104ABC"/>
    <w:rsid w:val="4B255188"/>
    <w:rsid w:val="4B271678"/>
    <w:rsid w:val="4B2E5E75"/>
    <w:rsid w:val="4B383F2F"/>
    <w:rsid w:val="4B3872E6"/>
    <w:rsid w:val="4B3C6CD3"/>
    <w:rsid w:val="4B667110"/>
    <w:rsid w:val="4B73089E"/>
    <w:rsid w:val="4B7F05B4"/>
    <w:rsid w:val="4B95381F"/>
    <w:rsid w:val="4C05768C"/>
    <w:rsid w:val="4C140DFC"/>
    <w:rsid w:val="4C3E45A0"/>
    <w:rsid w:val="4C5604A8"/>
    <w:rsid w:val="4C6D0539"/>
    <w:rsid w:val="4C733487"/>
    <w:rsid w:val="4C987828"/>
    <w:rsid w:val="4CA149AE"/>
    <w:rsid w:val="4CA50C40"/>
    <w:rsid w:val="4CBA5003"/>
    <w:rsid w:val="4D3741CF"/>
    <w:rsid w:val="4D734AE2"/>
    <w:rsid w:val="4D942F49"/>
    <w:rsid w:val="4D9D26B5"/>
    <w:rsid w:val="4DAE17BB"/>
    <w:rsid w:val="4DB0348E"/>
    <w:rsid w:val="4DC429DE"/>
    <w:rsid w:val="4DDB7383"/>
    <w:rsid w:val="4DE37F48"/>
    <w:rsid w:val="4DF51404"/>
    <w:rsid w:val="4E45724E"/>
    <w:rsid w:val="4E5633F4"/>
    <w:rsid w:val="4E6213EA"/>
    <w:rsid w:val="4E7740D9"/>
    <w:rsid w:val="4E9F034F"/>
    <w:rsid w:val="4EAC0AFF"/>
    <w:rsid w:val="4EC2021D"/>
    <w:rsid w:val="4F001CA3"/>
    <w:rsid w:val="4F467D05"/>
    <w:rsid w:val="4F6271F1"/>
    <w:rsid w:val="4F6F1E59"/>
    <w:rsid w:val="4FA95227"/>
    <w:rsid w:val="4FAC2061"/>
    <w:rsid w:val="4FD4254A"/>
    <w:rsid w:val="4FE87519"/>
    <w:rsid w:val="4FEB3AC1"/>
    <w:rsid w:val="50036E2B"/>
    <w:rsid w:val="50440632"/>
    <w:rsid w:val="504B20BE"/>
    <w:rsid w:val="50510E8E"/>
    <w:rsid w:val="505F6BA8"/>
    <w:rsid w:val="508A08FE"/>
    <w:rsid w:val="50E06128"/>
    <w:rsid w:val="50EF1919"/>
    <w:rsid w:val="50FD13B2"/>
    <w:rsid w:val="510D6DDD"/>
    <w:rsid w:val="51282D4D"/>
    <w:rsid w:val="51296266"/>
    <w:rsid w:val="51327881"/>
    <w:rsid w:val="51487731"/>
    <w:rsid w:val="51963651"/>
    <w:rsid w:val="51C61F38"/>
    <w:rsid w:val="51CA33EA"/>
    <w:rsid w:val="520E38E3"/>
    <w:rsid w:val="521B4163"/>
    <w:rsid w:val="525F130A"/>
    <w:rsid w:val="525F5968"/>
    <w:rsid w:val="5261310B"/>
    <w:rsid w:val="527359B3"/>
    <w:rsid w:val="52962A2A"/>
    <w:rsid w:val="529677B7"/>
    <w:rsid w:val="52BE123B"/>
    <w:rsid w:val="52C520DB"/>
    <w:rsid w:val="52C9608E"/>
    <w:rsid w:val="52D369DA"/>
    <w:rsid w:val="52D9178A"/>
    <w:rsid w:val="52FE30BB"/>
    <w:rsid w:val="5327777C"/>
    <w:rsid w:val="533075CF"/>
    <w:rsid w:val="535266D3"/>
    <w:rsid w:val="53527C31"/>
    <w:rsid w:val="5354521A"/>
    <w:rsid w:val="5356206E"/>
    <w:rsid w:val="536E79E7"/>
    <w:rsid w:val="536F3E4A"/>
    <w:rsid w:val="5375123D"/>
    <w:rsid w:val="5395369D"/>
    <w:rsid w:val="539C6AD1"/>
    <w:rsid w:val="53A1414F"/>
    <w:rsid w:val="53A232B4"/>
    <w:rsid w:val="53F313A1"/>
    <w:rsid w:val="54207E6C"/>
    <w:rsid w:val="5431397B"/>
    <w:rsid w:val="54341166"/>
    <w:rsid w:val="54377DE2"/>
    <w:rsid w:val="54460828"/>
    <w:rsid w:val="544758B6"/>
    <w:rsid w:val="546F5917"/>
    <w:rsid w:val="548956EA"/>
    <w:rsid w:val="54977BB1"/>
    <w:rsid w:val="54B40D35"/>
    <w:rsid w:val="54CE2507"/>
    <w:rsid w:val="54CF52F7"/>
    <w:rsid w:val="54D03E13"/>
    <w:rsid w:val="54EB4189"/>
    <w:rsid w:val="5507487F"/>
    <w:rsid w:val="55181CD2"/>
    <w:rsid w:val="551D086D"/>
    <w:rsid w:val="553216B4"/>
    <w:rsid w:val="55334BED"/>
    <w:rsid w:val="55474BFE"/>
    <w:rsid w:val="55573C74"/>
    <w:rsid w:val="555A759A"/>
    <w:rsid w:val="55644E20"/>
    <w:rsid w:val="557837FF"/>
    <w:rsid w:val="557C31A9"/>
    <w:rsid w:val="559D5144"/>
    <w:rsid w:val="55BA5B51"/>
    <w:rsid w:val="55BB65AB"/>
    <w:rsid w:val="55D01D97"/>
    <w:rsid w:val="55E9733B"/>
    <w:rsid w:val="55ED799D"/>
    <w:rsid w:val="56311EFB"/>
    <w:rsid w:val="565B6D1C"/>
    <w:rsid w:val="566E356F"/>
    <w:rsid w:val="56745085"/>
    <w:rsid w:val="567B4E41"/>
    <w:rsid w:val="5686294B"/>
    <w:rsid w:val="56A137AD"/>
    <w:rsid w:val="56A37ED2"/>
    <w:rsid w:val="56A636FC"/>
    <w:rsid w:val="56BE23DD"/>
    <w:rsid w:val="56C25DED"/>
    <w:rsid w:val="56C63CE0"/>
    <w:rsid w:val="56D86D9B"/>
    <w:rsid w:val="56D951D8"/>
    <w:rsid w:val="56EF56A1"/>
    <w:rsid w:val="57117F9C"/>
    <w:rsid w:val="57170456"/>
    <w:rsid w:val="57244B18"/>
    <w:rsid w:val="572E2DE3"/>
    <w:rsid w:val="57323D7B"/>
    <w:rsid w:val="57513EEF"/>
    <w:rsid w:val="577345FE"/>
    <w:rsid w:val="57775C20"/>
    <w:rsid w:val="577A519D"/>
    <w:rsid w:val="57887BF2"/>
    <w:rsid w:val="578B38B5"/>
    <w:rsid w:val="579345B0"/>
    <w:rsid w:val="57AD0B01"/>
    <w:rsid w:val="57E0699A"/>
    <w:rsid w:val="57E553DC"/>
    <w:rsid w:val="57EF3028"/>
    <w:rsid w:val="57EF6871"/>
    <w:rsid w:val="57F130EF"/>
    <w:rsid w:val="5806770C"/>
    <w:rsid w:val="580E207C"/>
    <w:rsid w:val="58235FFE"/>
    <w:rsid w:val="58240039"/>
    <w:rsid w:val="5828231D"/>
    <w:rsid w:val="582F5FB6"/>
    <w:rsid w:val="58446A9A"/>
    <w:rsid w:val="584C1F45"/>
    <w:rsid w:val="58530276"/>
    <w:rsid w:val="58AC1B34"/>
    <w:rsid w:val="58B36ECF"/>
    <w:rsid w:val="58D24593"/>
    <w:rsid w:val="58DE4F52"/>
    <w:rsid w:val="58E47133"/>
    <w:rsid w:val="58E87853"/>
    <w:rsid w:val="58F356F5"/>
    <w:rsid w:val="59152496"/>
    <w:rsid w:val="59186772"/>
    <w:rsid w:val="5952127D"/>
    <w:rsid w:val="595A121E"/>
    <w:rsid w:val="596F22F9"/>
    <w:rsid w:val="59872C38"/>
    <w:rsid w:val="598B0ECD"/>
    <w:rsid w:val="599D777F"/>
    <w:rsid w:val="59A07529"/>
    <w:rsid w:val="59C75644"/>
    <w:rsid w:val="59E24450"/>
    <w:rsid w:val="5A095139"/>
    <w:rsid w:val="5A135E81"/>
    <w:rsid w:val="5A193CBA"/>
    <w:rsid w:val="5A2825F9"/>
    <w:rsid w:val="5A626167"/>
    <w:rsid w:val="5A8402CF"/>
    <w:rsid w:val="5A845F65"/>
    <w:rsid w:val="5A9C462B"/>
    <w:rsid w:val="5A9D2121"/>
    <w:rsid w:val="5AA470B9"/>
    <w:rsid w:val="5ADF7D8C"/>
    <w:rsid w:val="5AE252AD"/>
    <w:rsid w:val="5AF07FF7"/>
    <w:rsid w:val="5AF422E5"/>
    <w:rsid w:val="5B2A1B0D"/>
    <w:rsid w:val="5B44603C"/>
    <w:rsid w:val="5B511071"/>
    <w:rsid w:val="5B512B1F"/>
    <w:rsid w:val="5B6D292E"/>
    <w:rsid w:val="5B787859"/>
    <w:rsid w:val="5BA612FA"/>
    <w:rsid w:val="5BB63420"/>
    <w:rsid w:val="5BF243F2"/>
    <w:rsid w:val="5BF26431"/>
    <w:rsid w:val="5BFB7D9F"/>
    <w:rsid w:val="5C006D9C"/>
    <w:rsid w:val="5C01190A"/>
    <w:rsid w:val="5C0529F3"/>
    <w:rsid w:val="5C1338A0"/>
    <w:rsid w:val="5C1C7139"/>
    <w:rsid w:val="5C273821"/>
    <w:rsid w:val="5C35441A"/>
    <w:rsid w:val="5C582DF1"/>
    <w:rsid w:val="5C662D79"/>
    <w:rsid w:val="5C7E7FD0"/>
    <w:rsid w:val="5C895D7E"/>
    <w:rsid w:val="5C8D0454"/>
    <w:rsid w:val="5CBE31AF"/>
    <w:rsid w:val="5CD533A1"/>
    <w:rsid w:val="5CE653CE"/>
    <w:rsid w:val="5CF65E61"/>
    <w:rsid w:val="5D082EF1"/>
    <w:rsid w:val="5D260C9A"/>
    <w:rsid w:val="5D290553"/>
    <w:rsid w:val="5D443734"/>
    <w:rsid w:val="5D4A201F"/>
    <w:rsid w:val="5D573AAA"/>
    <w:rsid w:val="5D7B20C3"/>
    <w:rsid w:val="5D97003D"/>
    <w:rsid w:val="5D9C73E7"/>
    <w:rsid w:val="5DDB2B85"/>
    <w:rsid w:val="5DED7A9E"/>
    <w:rsid w:val="5DFE4D22"/>
    <w:rsid w:val="5E014018"/>
    <w:rsid w:val="5E52401B"/>
    <w:rsid w:val="5E680490"/>
    <w:rsid w:val="5E6B7E83"/>
    <w:rsid w:val="5E780DEA"/>
    <w:rsid w:val="5E7B7D5D"/>
    <w:rsid w:val="5EC95BF2"/>
    <w:rsid w:val="5EDF0BC7"/>
    <w:rsid w:val="5EE31366"/>
    <w:rsid w:val="5F164A4F"/>
    <w:rsid w:val="5F183785"/>
    <w:rsid w:val="5F3F1DD9"/>
    <w:rsid w:val="5F631FA8"/>
    <w:rsid w:val="5FCC5206"/>
    <w:rsid w:val="5FD521F7"/>
    <w:rsid w:val="5FD719E6"/>
    <w:rsid w:val="5FE75659"/>
    <w:rsid w:val="5FF829B2"/>
    <w:rsid w:val="5FFC77DC"/>
    <w:rsid w:val="604B5DFE"/>
    <w:rsid w:val="60843483"/>
    <w:rsid w:val="60925DAE"/>
    <w:rsid w:val="609304D5"/>
    <w:rsid w:val="609E6FC9"/>
    <w:rsid w:val="610B0AE6"/>
    <w:rsid w:val="612E1091"/>
    <w:rsid w:val="612E35E2"/>
    <w:rsid w:val="612F6AE1"/>
    <w:rsid w:val="61531DCE"/>
    <w:rsid w:val="618064C2"/>
    <w:rsid w:val="61943B9E"/>
    <w:rsid w:val="61AA7472"/>
    <w:rsid w:val="61C41761"/>
    <w:rsid w:val="61E70A2F"/>
    <w:rsid w:val="62057F27"/>
    <w:rsid w:val="62120C2D"/>
    <w:rsid w:val="62423399"/>
    <w:rsid w:val="628262CE"/>
    <w:rsid w:val="628969B8"/>
    <w:rsid w:val="628F35DD"/>
    <w:rsid w:val="62B62F95"/>
    <w:rsid w:val="62C7596F"/>
    <w:rsid w:val="62D33C1E"/>
    <w:rsid w:val="62E155D8"/>
    <w:rsid w:val="630278C8"/>
    <w:rsid w:val="635F1FDF"/>
    <w:rsid w:val="636A61AB"/>
    <w:rsid w:val="64041E7F"/>
    <w:rsid w:val="64094BEE"/>
    <w:rsid w:val="640D013E"/>
    <w:rsid w:val="645143E6"/>
    <w:rsid w:val="645D79DF"/>
    <w:rsid w:val="647F472B"/>
    <w:rsid w:val="64821749"/>
    <w:rsid w:val="6493504D"/>
    <w:rsid w:val="64A83DA6"/>
    <w:rsid w:val="64BC5E49"/>
    <w:rsid w:val="64E67C56"/>
    <w:rsid w:val="65183378"/>
    <w:rsid w:val="652D5E7F"/>
    <w:rsid w:val="654F270A"/>
    <w:rsid w:val="65507243"/>
    <w:rsid w:val="656027FF"/>
    <w:rsid w:val="656352A5"/>
    <w:rsid w:val="657C4945"/>
    <w:rsid w:val="657D7638"/>
    <w:rsid w:val="659051EC"/>
    <w:rsid w:val="65BB4961"/>
    <w:rsid w:val="65C753D5"/>
    <w:rsid w:val="660D1534"/>
    <w:rsid w:val="66210180"/>
    <w:rsid w:val="662E3D94"/>
    <w:rsid w:val="66457E51"/>
    <w:rsid w:val="6680376E"/>
    <w:rsid w:val="66824F18"/>
    <w:rsid w:val="66912676"/>
    <w:rsid w:val="66AF4B72"/>
    <w:rsid w:val="66DD4FD8"/>
    <w:rsid w:val="66E229AA"/>
    <w:rsid w:val="66ED31EA"/>
    <w:rsid w:val="67025EE9"/>
    <w:rsid w:val="670337CC"/>
    <w:rsid w:val="670E28D4"/>
    <w:rsid w:val="670F1B70"/>
    <w:rsid w:val="67246AFA"/>
    <w:rsid w:val="67361532"/>
    <w:rsid w:val="67864A7F"/>
    <w:rsid w:val="679B5F39"/>
    <w:rsid w:val="67C74B53"/>
    <w:rsid w:val="67D13F01"/>
    <w:rsid w:val="67F75E8E"/>
    <w:rsid w:val="68251B5E"/>
    <w:rsid w:val="68293C00"/>
    <w:rsid w:val="68523062"/>
    <w:rsid w:val="688447C1"/>
    <w:rsid w:val="68B45251"/>
    <w:rsid w:val="68CE7CB8"/>
    <w:rsid w:val="68E34B21"/>
    <w:rsid w:val="68F14AB6"/>
    <w:rsid w:val="68F162D7"/>
    <w:rsid w:val="690971D7"/>
    <w:rsid w:val="691867A1"/>
    <w:rsid w:val="691A3243"/>
    <w:rsid w:val="69221EE6"/>
    <w:rsid w:val="696B2D9F"/>
    <w:rsid w:val="696C3489"/>
    <w:rsid w:val="696C42BB"/>
    <w:rsid w:val="697669C9"/>
    <w:rsid w:val="697A3A8B"/>
    <w:rsid w:val="698A6B0F"/>
    <w:rsid w:val="69CC14E2"/>
    <w:rsid w:val="69CD6393"/>
    <w:rsid w:val="69EC4C9C"/>
    <w:rsid w:val="69F1784C"/>
    <w:rsid w:val="69FB6F48"/>
    <w:rsid w:val="6A085BC1"/>
    <w:rsid w:val="6A1F7A9F"/>
    <w:rsid w:val="6A3067BD"/>
    <w:rsid w:val="6A38427B"/>
    <w:rsid w:val="6A4E2AD7"/>
    <w:rsid w:val="6A576D11"/>
    <w:rsid w:val="6A5B50ED"/>
    <w:rsid w:val="6A782EAA"/>
    <w:rsid w:val="6A7D12F1"/>
    <w:rsid w:val="6A801820"/>
    <w:rsid w:val="6A8D51AE"/>
    <w:rsid w:val="6AB31251"/>
    <w:rsid w:val="6AD3150D"/>
    <w:rsid w:val="6ADB2D81"/>
    <w:rsid w:val="6B3D6873"/>
    <w:rsid w:val="6B435052"/>
    <w:rsid w:val="6B5F24B5"/>
    <w:rsid w:val="6B6172B8"/>
    <w:rsid w:val="6B704279"/>
    <w:rsid w:val="6BA3199B"/>
    <w:rsid w:val="6BA43E16"/>
    <w:rsid w:val="6BD8163F"/>
    <w:rsid w:val="6BDE39E2"/>
    <w:rsid w:val="6BE82C6E"/>
    <w:rsid w:val="6BEC58FB"/>
    <w:rsid w:val="6BF7258C"/>
    <w:rsid w:val="6C3A353B"/>
    <w:rsid w:val="6C667711"/>
    <w:rsid w:val="6C6A59B8"/>
    <w:rsid w:val="6C79584D"/>
    <w:rsid w:val="6C7F45C1"/>
    <w:rsid w:val="6CDB746B"/>
    <w:rsid w:val="6CF46FE2"/>
    <w:rsid w:val="6D020EA1"/>
    <w:rsid w:val="6D061A16"/>
    <w:rsid w:val="6D1B510A"/>
    <w:rsid w:val="6D466891"/>
    <w:rsid w:val="6D4A3B5E"/>
    <w:rsid w:val="6D5F3797"/>
    <w:rsid w:val="6D6E1666"/>
    <w:rsid w:val="6D777815"/>
    <w:rsid w:val="6D882F1A"/>
    <w:rsid w:val="6DA15403"/>
    <w:rsid w:val="6DC620EB"/>
    <w:rsid w:val="6DDB1ECA"/>
    <w:rsid w:val="6DE03D35"/>
    <w:rsid w:val="6E0F1211"/>
    <w:rsid w:val="6E1E304B"/>
    <w:rsid w:val="6E66358F"/>
    <w:rsid w:val="6E69482B"/>
    <w:rsid w:val="6E732CEA"/>
    <w:rsid w:val="6EA603C8"/>
    <w:rsid w:val="6EC058A2"/>
    <w:rsid w:val="6ED604F9"/>
    <w:rsid w:val="6EEA6215"/>
    <w:rsid w:val="6EF00E07"/>
    <w:rsid w:val="6EF22B1C"/>
    <w:rsid w:val="6F0414D1"/>
    <w:rsid w:val="6F34474A"/>
    <w:rsid w:val="6F4C0E76"/>
    <w:rsid w:val="6F596421"/>
    <w:rsid w:val="6F6B7D6A"/>
    <w:rsid w:val="6FB30B76"/>
    <w:rsid w:val="6FBD0858"/>
    <w:rsid w:val="6FD81049"/>
    <w:rsid w:val="6FEF0811"/>
    <w:rsid w:val="704D49EC"/>
    <w:rsid w:val="708C3687"/>
    <w:rsid w:val="709241E9"/>
    <w:rsid w:val="70E175EE"/>
    <w:rsid w:val="70E62A28"/>
    <w:rsid w:val="70F825BD"/>
    <w:rsid w:val="710C7745"/>
    <w:rsid w:val="711F6622"/>
    <w:rsid w:val="713D3370"/>
    <w:rsid w:val="71567595"/>
    <w:rsid w:val="71615427"/>
    <w:rsid w:val="716C71DE"/>
    <w:rsid w:val="71964E0B"/>
    <w:rsid w:val="71A40B06"/>
    <w:rsid w:val="71A43860"/>
    <w:rsid w:val="71C63906"/>
    <w:rsid w:val="71E83E8B"/>
    <w:rsid w:val="71EE0182"/>
    <w:rsid w:val="71F44469"/>
    <w:rsid w:val="72245DF7"/>
    <w:rsid w:val="723773D4"/>
    <w:rsid w:val="724C04FD"/>
    <w:rsid w:val="725306B2"/>
    <w:rsid w:val="72592641"/>
    <w:rsid w:val="72872507"/>
    <w:rsid w:val="728B2107"/>
    <w:rsid w:val="72D212DB"/>
    <w:rsid w:val="72D43488"/>
    <w:rsid w:val="72E1752D"/>
    <w:rsid w:val="72E82BF6"/>
    <w:rsid w:val="73030AF9"/>
    <w:rsid w:val="7323724A"/>
    <w:rsid w:val="735E34FB"/>
    <w:rsid w:val="73725529"/>
    <w:rsid w:val="73892730"/>
    <w:rsid w:val="73A015C2"/>
    <w:rsid w:val="73A913CF"/>
    <w:rsid w:val="73BB4751"/>
    <w:rsid w:val="73BF48BA"/>
    <w:rsid w:val="73EB1497"/>
    <w:rsid w:val="74000A47"/>
    <w:rsid w:val="742C7667"/>
    <w:rsid w:val="74430910"/>
    <w:rsid w:val="74484526"/>
    <w:rsid w:val="744F51DD"/>
    <w:rsid w:val="745B45EA"/>
    <w:rsid w:val="74885606"/>
    <w:rsid w:val="74BB6271"/>
    <w:rsid w:val="74C279DC"/>
    <w:rsid w:val="74CF07A0"/>
    <w:rsid w:val="74E01310"/>
    <w:rsid w:val="74E1682D"/>
    <w:rsid w:val="751115BE"/>
    <w:rsid w:val="751F2214"/>
    <w:rsid w:val="752A577D"/>
    <w:rsid w:val="75580F8A"/>
    <w:rsid w:val="756A5626"/>
    <w:rsid w:val="75740E00"/>
    <w:rsid w:val="75776442"/>
    <w:rsid w:val="757F162D"/>
    <w:rsid w:val="75BE31B8"/>
    <w:rsid w:val="75C00B8A"/>
    <w:rsid w:val="75CC2D4E"/>
    <w:rsid w:val="75F71430"/>
    <w:rsid w:val="75FC7A41"/>
    <w:rsid w:val="76182D82"/>
    <w:rsid w:val="76260210"/>
    <w:rsid w:val="7635647B"/>
    <w:rsid w:val="763A080C"/>
    <w:rsid w:val="765C4369"/>
    <w:rsid w:val="76641507"/>
    <w:rsid w:val="76687618"/>
    <w:rsid w:val="769501F8"/>
    <w:rsid w:val="76B07BDC"/>
    <w:rsid w:val="76D14C09"/>
    <w:rsid w:val="76EB5B39"/>
    <w:rsid w:val="76ED2AF4"/>
    <w:rsid w:val="76FF750B"/>
    <w:rsid w:val="771478EB"/>
    <w:rsid w:val="773E5387"/>
    <w:rsid w:val="774D7CB7"/>
    <w:rsid w:val="775A5AE2"/>
    <w:rsid w:val="776F4F23"/>
    <w:rsid w:val="7786548B"/>
    <w:rsid w:val="779A16E6"/>
    <w:rsid w:val="77A645EF"/>
    <w:rsid w:val="77E359DC"/>
    <w:rsid w:val="78156E78"/>
    <w:rsid w:val="782D5EAF"/>
    <w:rsid w:val="78431150"/>
    <w:rsid w:val="78710511"/>
    <w:rsid w:val="787A6AAA"/>
    <w:rsid w:val="7897138D"/>
    <w:rsid w:val="789F1175"/>
    <w:rsid w:val="78A515AE"/>
    <w:rsid w:val="78C37346"/>
    <w:rsid w:val="790B385D"/>
    <w:rsid w:val="790E274F"/>
    <w:rsid w:val="7931734A"/>
    <w:rsid w:val="793C27DB"/>
    <w:rsid w:val="798450C6"/>
    <w:rsid w:val="79AF2036"/>
    <w:rsid w:val="79B63279"/>
    <w:rsid w:val="79BD46A6"/>
    <w:rsid w:val="79D82A38"/>
    <w:rsid w:val="79DA3E2E"/>
    <w:rsid w:val="7A2B114B"/>
    <w:rsid w:val="7A3F363E"/>
    <w:rsid w:val="7A454123"/>
    <w:rsid w:val="7A8208A2"/>
    <w:rsid w:val="7AB2222A"/>
    <w:rsid w:val="7ABE5DD1"/>
    <w:rsid w:val="7ADB38D4"/>
    <w:rsid w:val="7B0B58A8"/>
    <w:rsid w:val="7B2044F7"/>
    <w:rsid w:val="7B2852EA"/>
    <w:rsid w:val="7B310E5D"/>
    <w:rsid w:val="7B69351D"/>
    <w:rsid w:val="7BC778C0"/>
    <w:rsid w:val="7BC84C59"/>
    <w:rsid w:val="7BF13877"/>
    <w:rsid w:val="7C01401C"/>
    <w:rsid w:val="7C1E5CE5"/>
    <w:rsid w:val="7C4B299F"/>
    <w:rsid w:val="7C587C3D"/>
    <w:rsid w:val="7C782645"/>
    <w:rsid w:val="7C7E2999"/>
    <w:rsid w:val="7C931DEA"/>
    <w:rsid w:val="7CB33935"/>
    <w:rsid w:val="7CCD3892"/>
    <w:rsid w:val="7CE076F8"/>
    <w:rsid w:val="7CF20ECE"/>
    <w:rsid w:val="7D2943DD"/>
    <w:rsid w:val="7D3D0E07"/>
    <w:rsid w:val="7D7A3E7D"/>
    <w:rsid w:val="7D8072E5"/>
    <w:rsid w:val="7D9F1073"/>
    <w:rsid w:val="7DB82675"/>
    <w:rsid w:val="7DBE1A3A"/>
    <w:rsid w:val="7DD2691C"/>
    <w:rsid w:val="7E310F84"/>
    <w:rsid w:val="7E333FDB"/>
    <w:rsid w:val="7E3563A1"/>
    <w:rsid w:val="7E3842C6"/>
    <w:rsid w:val="7E654AE8"/>
    <w:rsid w:val="7E6858F2"/>
    <w:rsid w:val="7E6E0D00"/>
    <w:rsid w:val="7E735DA8"/>
    <w:rsid w:val="7E753CCA"/>
    <w:rsid w:val="7E890A84"/>
    <w:rsid w:val="7E9326F9"/>
    <w:rsid w:val="7E9D42A8"/>
    <w:rsid w:val="7E9D5115"/>
    <w:rsid w:val="7EA9244A"/>
    <w:rsid w:val="7EB66202"/>
    <w:rsid w:val="7EE10C39"/>
    <w:rsid w:val="7EE20452"/>
    <w:rsid w:val="7EE74314"/>
    <w:rsid w:val="7EF02028"/>
    <w:rsid w:val="7F0E6A25"/>
    <w:rsid w:val="7F1437A7"/>
    <w:rsid w:val="7F2C2418"/>
    <w:rsid w:val="7F395D9C"/>
    <w:rsid w:val="7F5B45CF"/>
    <w:rsid w:val="7F692C88"/>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1"/>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10"/>
    <w:basedOn w:val="52"/>
    <w:qFormat/>
    <w:uiPriority w:val="0"/>
    <w:rPr>
      <w:rFonts w:hint="default" w:ascii="Times New Roman" w:hAnsi="Times New Roman" w:cs="Times New Roman"/>
    </w:rPr>
  </w:style>
  <w:style w:type="character" w:customStyle="1" w:styleId="153">
    <w:name w:val="15"/>
    <w:basedOn w:val="5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2480</Words>
  <Characters>14138</Characters>
  <Lines>1</Lines>
  <Paragraphs>1</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2022-01-11T03:39:44Z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